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#11</w:t>
      </w:r>
      <w:r>
        <w:rPr>
          <w:rFonts w:hint="eastAsia" w:eastAsia="宋体" w:cs="Arial"/>
          <w:sz w:val="24"/>
          <w:szCs w:val="24"/>
          <w:lang w:val="en-US" w:eastAsia="zh-CN"/>
        </w:rPr>
        <w:t xml:space="preserve">7                                   </w:t>
      </w:r>
      <w:r>
        <w:rPr>
          <w:rFonts w:eastAsia="宋体" w:cs="Arial"/>
          <w:sz w:val="24"/>
          <w:szCs w:val="24"/>
          <w:lang w:eastAsia="zh-CN"/>
        </w:rPr>
        <w:t>R4-2</w:t>
      </w:r>
      <w:r>
        <w:rPr>
          <w:rFonts w:hint="eastAsia" w:eastAsia="宋体" w:cs="Arial"/>
          <w:sz w:val="24"/>
          <w:szCs w:val="24"/>
          <w:lang w:val="en-US" w:eastAsia="zh-CN"/>
        </w:rPr>
        <w:t>521539</w:t>
      </w:r>
      <w:bookmarkStart w:id="3" w:name="_GoBack"/>
      <w:bookmarkEnd w:id="3"/>
      <w:r>
        <w:rPr>
          <w:rFonts w:hint="eastAsia" w:eastAsia="宋体" w:cs="Arial"/>
          <w:sz w:val="24"/>
          <w:szCs w:val="24"/>
          <w:lang w:val="en-US" w:eastAsia="zh-CN"/>
        </w:rPr>
        <w:t xml:space="preserve">                                                          </w:t>
      </w:r>
    </w:p>
    <w:p>
      <w:pPr>
        <w:pStyle w:val="28"/>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Dallas</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USA</w:t>
      </w:r>
      <w:r>
        <w:rPr>
          <w:rFonts w:eastAsia="宋体" w:cs="Arial"/>
          <w:sz w:val="24"/>
          <w:szCs w:val="24"/>
          <w:lang w:eastAsia="zh-CN"/>
        </w:rPr>
        <w:t xml:space="preserve">, </w:t>
      </w:r>
      <w:r>
        <w:rPr>
          <w:rFonts w:hint="eastAsia" w:eastAsia="宋体" w:cs="Arial"/>
          <w:sz w:val="24"/>
          <w:szCs w:val="24"/>
          <w:lang w:val="en-US" w:eastAsia="zh-CN"/>
        </w:rPr>
        <w:t>17</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21</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Nov</w:t>
      </w:r>
      <w:r>
        <w:rPr>
          <w:rFonts w:eastAsia="宋体" w:cs="Arial"/>
          <w:sz w:val="24"/>
          <w:szCs w:val="24"/>
          <w:lang w:eastAsia="zh-CN"/>
        </w:rPr>
        <w:t>, 202</w:t>
      </w:r>
      <w:r>
        <w:rPr>
          <w:rFonts w:hint="eastAsia" w:eastAsia="宋体" w:cs="Arial"/>
          <w:sz w:val="24"/>
          <w:szCs w:val="24"/>
          <w:lang w:val="en-US" w:eastAsia="zh-CN"/>
        </w:rPr>
        <w:t>5</w:t>
      </w:r>
    </w:p>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HD-FDD VSAT on Ku band</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7.6.4.2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8"/>
        <w:rPr>
          <w:lang w:val="en-US"/>
        </w:rPr>
      </w:pPr>
      <w:r>
        <w:rPr>
          <w:lang w:val="en-US"/>
        </w:rPr>
        <w:t>Intro</w:t>
      </w:r>
      <w:r>
        <w:rPr>
          <w:rStyle w:val="79"/>
          <w:lang w:val="en-US"/>
        </w:rPr>
        <w:t>ductio</w:t>
      </w:r>
      <w:r>
        <w:rPr>
          <w:lang w:val="en-US"/>
        </w:rPr>
        <w:t>n</w:t>
      </w:r>
    </w:p>
    <w:p>
      <w:pPr>
        <w:jc w:val="both"/>
        <w:rPr>
          <w:rFonts w:hint="eastAsia" w:eastAsia="宋体"/>
          <w:sz w:val="22"/>
          <w:highlight w:val="none"/>
          <w:lang w:val="en-US" w:eastAsia="zh-CN"/>
        </w:rPr>
      </w:pPr>
      <w:r>
        <w:rPr>
          <w:rFonts w:hint="eastAsia" w:eastAsia="宋体"/>
          <w:sz w:val="22"/>
          <w:highlight w:val="none"/>
          <w:lang w:val="en-US" w:eastAsia="zh-CN"/>
        </w:rPr>
        <w:t>At RAN plenary #108 meeting, the latest WI“Enhanced requirements for NR NTN and IoT NTN Phase 2”[1] was approved. In current WID, the goal is to specify RF and RRM requirements to support HD-FDD VSATs in both Ka and Ku bands with FR1 and FR2 numerologies. The following description states RAN4’s work in future stage: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宋体" w:cs="Times New Roman"/>
                <w:bCs/>
                <w:sz w:val="22"/>
                <w:szCs w:val="22"/>
                <w:highlight w:val="none"/>
                <w:u w:val="none"/>
                <w:lang w:val="en-US" w:eastAsia="zh-CN" w:bidi="ar"/>
              </w:rPr>
            </w:pPr>
            <w:r>
              <w:rPr>
                <w:rFonts w:hint="default" w:ascii="Times New Roman" w:hAnsi="Times New Roman" w:eastAsia="宋体" w:cs="Times New Roman"/>
                <w:bCs/>
                <w:kern w:val="0"/>
                <w:sz w:val="22"/>
                <w:szCs w:val="22"/>
                <w:highlight w:val="none"/>
                <w:u w:val="none"/>
                <w:lang w:val="en-US" w:eastAsia="zh-CN" w:bidi="ar"/>
              </w:rPr>
              <w:t>HD-FDD for NTN Core Part</w:t>
            </w:r>
          </w:p>
          <w:p>
            <w:pPr>
              <w:pStyle w:val="30"/>
              <w:keepNext w:val="0"/>
              <w:keepLines w:val="0"/>
              <w:widowControl/>
              <w:numPr>
                <w:ilvl w:val="0"/>
                <w:numId w:val="3"/>
              </w:numPr>
              <w:suppressLineNumbers w:val="0"/>
              <w:spacing w:before="0" w:beforeAutospacing="0" w:after="0" w:afterAutospacing="0"/>
              <w:ind w:left="810" w:right="0" w:hanging="450"/>
              <w:contextualSpacing/>
              <w:rPr>
                <w:rFonts w:hint="default" w:ascii="Times New Roman" w:hAnsi="Times New Roman" w:cs="Times New Roman"/>
                <w:sz w:val="22"/>
                <w:szCs w:val="22"/>
                <w:highlight w:val="none"/>
                <w:lang w:val="en-US"/>
              </w:rPr>
            </w:pPr>
            <w:r>
              <w:rPr>
                <w:rFonts w:hint="default" w:ascii="Times New Roman" w:hAnsi="Times New Roman" w:cs="Times New Roman"/>
                <w:sz w:val="22"/>
                <w:szCs w:val="22"/>
                <w:highlight w:val="none"/>
                <w:lang w:val="en-US"/>
              </w:rPr>
              <w:t>Specify RF and RRM requirements to support HD-FDD VSATs in both Ka and Ku bands with FR1 and FR2 numerologies</w:t>
            </w:r>
          </w:p>
          <w:p>
            <w:pPr>
              <w:pStyle w:val="30"/>
              <w:keepNext w:val="0"/>
              <w:keepLines w:val="0"/>
              <w:widowControl/>
              <w:numPr>
                <w:ilvl w:val="0"/>
                <w:numId w:val="4"/>
              </w:numPr>
              <w:suppressLineNumbers w:val="0"/>
              <w:overflowPunct/>
              <w:autoSpaceDE/>
              <w:autoSpaceDN w:val="0"/>
              <w:adjustRightInd/>
              <w:spacing w:before="0" w:beforeAutospacing="0" w:after="0" w:afterAutospacing="0"/>
              <w:ind w:left="1200" w:right="0" w:hanging="480"/>
              <w:contextualSpacing/>
              <w:rPr>
                <w:rFonts w:hint="default" w:ascii="Times New Roman" w:hAnsi="Times New Roman" w:cs="Times New Roman"/>
                <w:sz w:val="22"/>
                <w:szCs w:val="22"/>
                <w:highlight w:val="none"/>
                <w:lang w:val="en-US"/>
              </w:rPr>
            </w:pPr>
            <w:r>
              <w:rPr>
                <w:rFonts w:hint="default" w:ascii="Times New Roman" w:hAnsi="Times New Roman" w:cs="Times New Roman"/>
                <w:b/>
                <w:bCs w:val="0"/>
                <w:sz w:val="22"/>
                <w:szCs w:val="22"/>
                <w:highlight w:val="none"/>
                <w:lang w:val="en-US"/>
              </w:rPr>
              <w:t>Phase 1:</w:t>
            </w:r>
            <w:r>
              <w:rPr>
                <w:rFonts w:hint="default" w:ascii="Times New Roman" w:hAnsi="Times New Roman" w:cs="Times New Roman"/>
                <w:sz w:val="22"/>
                <w:szCs w:val="22"/>
                <w:highlight w:val="none"/>
                <w:lang w:val="en-US"/>
              </w:rPr>
              <w:t xml:space="preserve"> Ku</w:t>
            </w:r>
            <w:r>
              <w:rPr>
                <w:rFonts w:hint="default" w:ascii="Times New Roman" w:hAnsi="Times New Roman" w:eastAsia="Malgun Gothic" w:cs="Times New Roman"/>
                <w:sz w:val="22"/>
                <w:szCs w:val="22"/>
                <w:highlight w:val="none"/>
                <w:lang w:val="en-US" w:eastAsia="ko"/>
              </w:rPr>
              <w:t xml:space="preserve"> band with </w:t>
            </w:r>
            <w:r>
              <w:rPr>
                <w:rFonts w:hint="default" w:ascii="Times New Roman" w:hAnsi="Times New Roman" w:cs="Times New Roman"/>
                <w:sz w:val="22"/>
                <w:szCs w:val="22"/>
                <w:highlight w:val="none"/>
                <w:lang w:val="en-US"/>
              </w:rPr>
              <w:t>FR1 numerology</w:t>
            </w:r>
          </w:p>
          <w:p>
            <w:pPr>
              <w:pStyle w:val="30"/>
              <w:keepNext w:val="0"/>
              <w:keepLines w:val="0"/>
              <w:widowControl/>
              <w:numPr>
                <w:ilvl w:val="1"/>
                <w:numId w:val="4"/>
              </w:numPr>
              <w:suppressLineNumbers w:val="0"/>
              <w:overflowPunct/>
              <w:autoSpaceDE/>
              <w:autoSpaceDN w:val="0"/>
              <w:adjustRightInd/>
              <w:spacing w:before="0" w:beforeAutospacing="0" w:after="0" w:afterAutospacing="0"/>
              <w:ind w:left="1680" w:right="0" w:hanging="480"/>
              <w:contextualSpacing/>
              <w:rPr>
                <w:rFonts w:hint="default" w:ascii="Times New Roman" w:hAnsi="Times New Roman" w:cs="Times New Roman"/>
                <w:bCs/>
                <w:sz w:val="22"/>
                <w:szCs w:val="22"/>
                <w:highlight w:val="none"/>
                <w:lang w:val="en-US"/>
              </w:rPr>
            </w:pPr>
            <w:r>
              <w:rPr>
                <w:rFonts w:hint="default" w:ascii="Times New Roman" w:hAnsi="Times New Roman" w:cs="Times New Roman"/>
                <w:bCs/>
                <w:sz w:val="22"/>
                <w:szCs w:val="22"/>
                <w:highlight w:val="none"/>
                <w:lang w:val="en-US"/>
              </w:rPr>
              <w:t>Introduce a single set of requirements for HD-FDD for VSAT types 2, 3, 5, 6 with electronically steered antenna</w:t>
            </w:r>
          </w:p>
          <w:p>
            <w:pPr>
              <w:pStyle w:val="30"/>
              <w:keepNext w:val="0"/>
              <w:keepLines w:val="0"/>
              <w:widowControl/>
              <w:numPr>
                <w:ilvl w:val="1"/>
                <w:numId w:val="4"/>
              </w:numPr>
              <w:suppressLineNumbers w:val="0"/>
              <w:overflowPunct/>
              <w:autoSpaceDE/>
              <w:autoSpaceDN w:val="0"/>
              <w:adjustRightInd/>
              <w:spacing w:before="0" w:beforeAutospacing="0" w:after="0" w:afterAutospacing="0"/>
              <w:ind w:left="1680" w:right="0" w:hanging="480"/>
              <w:contextualSpacing/>
              <w:rPr>
                <w:rFonts w:hint="default" w:ascii="Times New Roman" w:hAnsi="Times New Roman" w:cs="Times New Roman"/>
                <w:bCs/>
                <w:sz w:val="22"/>
                <w:szCs w:val="22"/>
                <w:highlight w:val="none"/>
                <w:lang w:val="en-US"/>
              </w:rPr>
            </w:pPr>
            <w:r>
              <w:rPr>
                <w:rFonts w:hint="default" w:ascii="Times New Roman" w:hAnsi="Times New Roman" w:cs="Times New Roman"/>
                <w:bCs/>
                <w:sz w:val="22"/>
                <w:szCs w:val="22"/>
                <w:highlight w:val="none"/>
                <w:lang w:val="en-US"/>
              </w:rPr>
              <w:t xml:space="preserve">Introduce requirements for HD-FDD </w:t>
            </w:r>
            <w:r>
              <w:rPr>
                <w:rFonts w:hint="default" w:ascii="Times New Roman" w:hAnsi="Times New Roman" w:eastAsia="Malgun Gothic" w:cs="Times New Roman"/>
                <w:bCs/>
                <w:sz w:val="22"/>
                <w:szCs w:val="22"/>
                <w:highlight w:val="none"/>
                <w:lang w:val="en-US" w:eastAsia="ko"/>
              </w:rPr>
              <w:t xml:space="preserve">Mobile </w:t>
            </w:r>
            <w:r>
              <w:rPr>
                <w:rFonts w:hint="default" w:ascii="Times New Roman" w:hAnsi="Times New Roman" w:cs="Times New Roman"/>
                <w:bCs/>
                <w:sz w:val="22"/>
                <w:szCs w:val="22"/>
                <w:highlight w:val="none"/>
                <w:lang w:val="en-US"/>
              </w:rPr>
              <w:t>VSAT with small antennas (e.g., 20x20cm) with a new VSAT type</w:t>
            </w:r>
          </w:p>
          <w:p>
            <w:pPr>
              <w:pStyle w:val="30"/>
              <w:keepNext w:val="0"/>
              <w:keepLines w:val="0"/>
              <w:widowControl/>
              <w:numPr>
                <w:ilvl w:val="0"/>
                <w:numId w:val="4"/>
              </w:numPr>
              <w:suppressLineNumbers w:val="0"/>
              <w:overflowPunct/>
              <w:autoSpaceDE/>
              <w:autoSpaceDN w:val="0"/>
              <w:adjustRightInd/>
              <w:spacing w:before="0" w:beforeAutospacing="0" w:after="0" w:afterAutospacing="0"/>
              <w:ind w:left="1200" w:right="0" w:hanging="480"/>
              <w:contextualSpacing/>
              <w:rPr>
                <w:rFonts w:hint="default" w:ascii="Times New Roman" w:hAnsi="Times New Roman" w:cs="Times New Roman"/>
                <w:sz w:val="22"/>
                <w:szCs w:val="22"/>
                <w:highlight w:val="none"/>
                <w:lang w:val="en-US"/>
              </w:rPr>
            </w:pPr>
            <w:r>
              <w:rPr>
                <w:rFonts w:hint="default" w:ascii="Times New Roman" w:hAnsi="Times New Roman" w:cs="Times New Roman"/>
                <w:b/>
                <w:bCs w:val="0"/>
                <w:sz w:val="22"/>
                <w:szCs w:val="22"/>
                <w:highlight w:val="none"/>
                <w:lang w:val="en-US"/>
              </w:rPr>
              <w:t>Phase 2:</w:t>
            </w:r>
            <w:r>
              <w:rPr>
                <w:rFonts w:hint="default" w:ascii="Times New Roman" w:hAnsi="Times New Roman" w:cs="Times New Roman"/>
                <w:sz w:val="22"/>
                <w:szCs w:val="22"/>
                <w:highlight w:val="none"/>
                <w:lang w:val="en-US"/>
              </w:rPr>
              <w:t xml:space="preserve">  Ku band and Ka band with FR2 numerology </w:t>
            </w:r>
          </w:p>
          <w:p>
            <w:pPr>
              <w:pStyle w:val="30"/>
              <w:keepNext w:val="0"/>
              <w:keepLines w:val="0"/>
              <w:widowControl/>
              <w:numPr>
                <w:ilvl w:val="1"/>
                <w:numId w:val="4"/>
              </w:numPr>
              <w:suppressLineNumbers w:val="0"/>
              <w:overflowPunct/>
              <w:autoSpaceDE/>
              <w:autoSpaceDN w:val="0"/>
              <w:adjustRightInd/>
              <w:spacing w:before="0" w:beforeAutospacing="0" w:after="0" w:afterAutospacing="0"/>
              <w:ind w:left="1680" w:right="0" w:hanging="480"/>
              <w:contextualSpacing/>
              <w:rPr>
                <w:rFonts w:hint="default" w:ascii="Times New Roman" w:hAnsi="Times New Roman" w:cs="Times New Roman"/>
                <w:bCs/>
                <w:sz w:val="22"/>
                <w:szCs w:val="22"/>
                <w:highlight w:val="none"/>
                <w:lang w:val="en-US"/>
              </w:rPr>
            </w:pPr>
            <w:r>
              <w:rPr>
                <w:rFonts w:hint="default" w:ascii="Times New Roman" w:hAnsi="Times New Roman" w:cs="Times New Roman"/>
                <w:bCs/>
                <w:sz w:val="22"/>
                <w:szCs w:val="22"/>
                <w:highlight w:val="none"/>
                <w:lang w:val="en-US"/>
              </w:rPr>
              <w:t>Introduce a single set of requirements for HD-FDD for VSAT types 2, 3, 5, 6 with electronically steered antenna</w:t>
            </w:r>
          </w:p>
          <w:p>
            <w:pPr>
              <w:pStyle w:val="30"/>
              <w:keepNext w:val="0"/>
              <w:keepLines w:val="0"/>
              <w:widowControl/>
              <w:numPr>
                <w:ilvl w:val="1"/>
                <w:numId w:val="4"/>
              </w:numPr>
              <w:suppressLineNumbers w:val="0"/>
              <w:overflowPunct/>
              <w:autoSpaceDE/>
              <w:autoSpaceDN w:val="0"/>
              <w:adjustRightInd/>
              <w:spacing w:before="0" w:beforeAutospacing="0" w:after="0" w:afterAutospacing="0"/>
              <w:ind w:left="1680" w:right="0" w:hanging="480"/>
              <w:contextualSpacing/>
              <w:rPr>
                <w:rFonts w:hint="default" w:ascii="Times New Roman" w:hAnsi="Times New Roman" w:cs="Times New Roman"/>
                <w:bCs/>
                <w:sz w:val="22"/>
                <w:szCs w:val="22"/>
                <w:highlight w:val="none"/>
                <w:lang w:val="en-US"/>
              </w:rPr>
            </w:pPr>
            <w:r>
              <w:rPr>
                <w:rFonts w:hint="default" w:ascii="Times New Roman" w:hAnsi="Times New Roman" w:cs="Times New Roman"/>
                <w:bCs/>
                <w:sz w:val="22"/>
                <w:szCs w:val="22"/>
                <w:highlight w:val="none"/>
                <w:lang w:val="en-US"/>
              </w:rPr>
              <w:t xml:space="preserve">Introduce requirements for HD-FDD </w:t>
            </w:r>
            <w:r>
              <w:rPr>
                <w:rFonts w:hint="default" w:ascii="Times New Roman" w:hAnsi="Times New Roman" w:eastAsia="Malgun Gothic" w:cs="Times New Roman"/>
                <w:bCs/>
                <w:sz w:val="22"/>
                <w:szCs w:val="22"/>
                <w:highlight w:val="none"/>
                <w:lang w:val="en-US" w:eastAsia="ko"/>
              </w:rPr>
              <w:t xml:space="preserve">Mobile </w:t>
            </w:r>
            <w:r>
              <w:rPr>
                <w:rFonts w:hint="default" w:ascii="Times New Roman" w:hAnsi="Times New Roman" w:cs="Times New Roman"/>
                <w:bCs/>
                <w:sz w:val="22"/>
                <w:szCs w:val="22"/>
                <w:highlight w:val="none"/>
                <w:lang w:val="en-US"/>
              </w:rPr>
              <w:t>VSAT with small antennas (e.g., 20x20cm) with a new VSAT type</w:t>
            </w:r>
          </w:p>
          <w:p>
            <w:pPr>
              <w:pStyle w:val="30"/>
              <w:keepNext w:val="0"/>
              <w:keepLines w:val="0"/>
              <w:widowControl/>
              <w:numPr>
                <w:ilvl w:val="0"/>
                <w:numId w:val="4"/>
              </w:numPr>
              <w:suppressLineNumbers w:val="0"/>
              <w:overflowPunct/>
              <w:autoSpaceDE/>
              <w:autoSpaceDN w:val="0"/>
              <w:adjustRightInd/>
              <w:spacing w:before="0" w:beforeAutospacing="0" w:after="0" w:afterAutospacing="0"/>
              <w:ind w:left="1200" w:right="0" w:hanging="480"/>
              <w:contextualSpacing/>
              <w:rPr>
                <w:rFonts w:hint="default" w:ascii="Times New Roman" w:hAnsi="Times New Roman" w:cs="Times New Roman"/>
                <w:sz w:val="22"/>
                <w:szCs w:val="22"/>
                <w:highlight w:val="none"/>
                <w:lang w:val="en-US"/>
              </w:rPr>
            </w:pPr>
            <w:r>
              <w:rPr>
                <w:rFonts w:hint="default" w:ascii="Times New Roman" w:hAnsi="Times New Roman" w:cs="Times New Roman"/>
                <w:sz w:val="22"/>
                <w:szCs w:val="22"/>
                <w:highlight w:val="none"/>
                <w:lang w:val="en-US"/>
              </w:rPr>
              <w:t xml:space="preserve">Phase 1 work will commence immediately.  Phase 2 work will commence upon completion of Phase 1 and RAN1/RAN2 availability. </w:t>
            </w:r>
          </w:p>
          <w:p>
            <w:pPr>
              <w:pStyle w:val="30"/>
              <w:keepNext w:val="0"/>
              <w:keepLines w:val="0"/>
              <w:widowControl/>
              <w:numPr>
                <w:ilvl w:val="0"/>
                <w:numId w:val="5"/>
              </w:numPr>
              <w:suppressLineNumbers w:val="0"/>
              <w:ind w:left="0" w:hanging="360"/>
              <w:rPr>
                <w:rFonts w:hint="default" w:ascii="Times New Roman" w:hAnsi="Times New Roman" w:eastAsia="宋体" w:cs="Times New Roman"/>
              </w:rPr>
            </w:pPr>
            <w:r>
              <w:rPr>
                <w:rFonts w:hint="default" w:ascii="Times New Roman" w:hAnsi="Times New Roman" w:cs="Times New Roman"/>
                <w:bCs/>
                <w:sz w:val="22"/>
                <w:szCs w:val="22"/>
                <w:highlight w:val="none"/>
                <w:lang w:val="en-US"/>
              </w:rPr>
              <w:t>Note :Leverage RedCap NTN HD-FDD solution to NTN HD-FDD VSAT as applicable.</w:t>
            </w:r>
          </w:p>
        </w:tc>
      </w:tr>
    </w:tbl>
    <w:p>
      <w:pPr>
        <w:pStyle w:val="78"/>
        <w:rPr>
          <w:lang w:val="en-US" w:eastAsia="zh-CN"/>
        </w:rPr>
      </w:pPr>
      <w:r>
        <w:rPr>
          <w:lang w:val="en-US"/>
        </w:rPr>
        <w:t>Discussion</w:t>
      </w:r>
    </w:p>
    <w:p>
      <w:pPr>
        <w:jc w:val="both"/>
        <w:rPr>
          <w:rFonts w:hint="eastAsia" w:eastAsia="宋体"/>
          <w:sz w:val="22"/>
          <w:szCs w:val="22"/>
          <w:lang w:val="en-US" w:eastAsia="zh-CN"/>
        </w:rPr>
      </w:pPr>
      <w:r>
        <w:rPr>
          <w:rFonts w:hint="eastAsia" w:eastAsia="宋体"/>
          <w:sz w:val="22"/>
          <w:szCs w:val="22"/>
          <w:lang w:val="en-US" w:eastAsia="zh-CN"/>
        </w:rPr>
        <w:t>RAN4 #116bis meeting has kicked off the study of HD-FDD VSAT operating in both Ka and Ku bands with FR1 numerology. As WID said, phase 1 work will commence immediately, and the study of phase 2 will commence upon completion of phase 1 and RAN1/RAN2 availability. In line with the latest WID regarding the RRM core parts, RAN4 shall present some views on Phase 1.</w:t>
      </w:r>
    </w:p>
    <w:p>
      <w:pPr>
        <w:pStyle w:val="80"/>
        <w:numPr>
          <w:ilvl w:val="1"/>
          <w:numId w:val="0"/>
        </w:numPr>
        <w:rPr>
          <w:rFonts w:hint="default" w:eastAsiaTheme="minorEastAsia"/>
          <w:lang w:val="en-US" w:eastAsia="zh-CN"/>
        </w:rPr>
      </w:pPr>
      <w:r>
        <w:rPr>
          <w:rFonts w:hint="eastAsia"/>
          <w:lang w:eastAsia="zh-CN"/>
        </w:rPr>
        <w:t>2</w:t>
      </w:r>
      <w:r>
        <w:rPr>
          <w:lang w:eastAsia="zh-CN"/>
        </w:rPr>
        <w:t>.</w:t>
      </w:r>
      <w:r>
        <w:rPr>
          <w:rFonts w:hint="eastAsia"/>
          <w:lang w:val="en-US" w:eastAsia="zh-CN"/>
        </w:rPr>
        <w:t>1</w:t>
      </w:r>
      <w:r>
        <w:rPr>
          <w:lang w:eastAsia="zh-CN"/>
        </w:rPr>
        <w:t xml:space="preserve"> </w:t>
      </w:r>
      <w:r>
        <w:rPr>
          <w:rFonts w:hint="eastAsia"/>
          <w:lang w:val="en-US" w:eastAsia="zh-CN"/>
        </w:rPr>
        <w:t>General discussion</w:t>
      </w:r>
    </w:p>
    <w:p>
      <w:pPr>
        <w:jc w:val="both"/>
        <w:rPr>
          <w:rFonts w:hint="eastAsia" w:eastAsia="宋体"/>
          <w:sz w:val="22"/>
          <w:szCs w:val="22"/>
          <w:lang w:val="en-US" w:eastAsia="zh-CN"/>
        </w:rPr>
      </w:pPr>
      <w:r>
        <w:rPr>
          <w:rFonts w:hint="eastAsia" w:eastAsia="宋体"/>
          <w:sz w:val="22"/>
          <w:szCs w:val="22"/>
          <w:lang w:val="en-US" w:eastAsia="zh-CN"/>
        </w:rPr>
        <w:t xml:space="preserve">It is noted that phase 1 contains two sub-bullets to address distinct scenarios and pertain to different HD-FDD VSAT capabilities. </w:t>
      </w:r>
    </w:p>
    <w:p>
      <w:pPr>
        <w:jc w:val="both"/>
        <w:rPr>
          <w:rFonts w:hint="default" w:eastAsia="宋体"/>
          <w:sz w:val="22"/>
          <w:szCs w:val="22"/>
          <w:highlight w:val="yellow"/>
          <w:lang w:val="en-US" w:eastAsia="zh-CN"/>
        </w:rPr>
      </w:pPr>
      <w:r>
        <w:rPr>
          <w:rFonts w:hint="eastAsia" w:eastAsia="宋体"/>
          <w:sz w:val="22"/>
          <w:szCs w:val="22"/>
          <w:lang w:val="en-US" w:eastAsia="zh-CN"/>
        </w:rPr>
        <w:t>Regarding the first sub-bullet (for VSAT type 2,3,5,6), it states that RAN4 shall introduce a single set of requirements for HD-FDD for VSAT types 2,3,5,6 equipped with electronically steered antennas. Hence, there is no need to define separate core requirements for these HD-FDD VSAT with electronically steered antenna. That is, when specifying RRM requirements for HD-FDD VSAT UEs, RAN4 shall not differentiate based on whether VSAT UE is fixed or mobile, or whether it is served by GEO or LEO.</w:t>
      </w:r>
    </w:p>
    <w:p>
      <w:pPr>
        <w:numPr>
          <w:ilvl w:val="-1"/>
          <w:numId w:val="0"/>
        </w:numPr>
        <w:jc w:val="both"/>
        <w:rPr>
          <w:rFonts w:hint="default" w:eastAsia="宋体"/>
          <w:b/>
          <w:bCs/>
          <w:sz w:val="22"/>
          <w:szCs w:val="22"/>
          <w:lang w:val="en-US" w:eastAsia="zh-CN"/>
        </w:rPr>
      </w:pPr>
      <w:r>
        <w:rPr>
          <w:rFonts w:hint="eastAsia" w:eastAsia="宋体"/>
          <w:b/>
          <w:bCs/>
          <w:sz w:val="22"/>
          <w:szCs w:val="22"/>
          <w:lang w:val="en-US" w:eastAsia="zh-CN"/>
        </w:rPr>
        <w:t>Proposal 1: For HD-FDD for VSAT types 2,3,5,6, RAN4 shall define a single set of RRM requirements, regardless of whether the VSAT UE is fixed or mobile, or served by GEO or LEO satellites.</w:t>
      </w:r>
    </w:p>
    <w:p>
      <w:pPr>
        <w:pStyle w:val="80"/>
        <w:numPr>
          <w:ilvl w:val="1"/>
          <w:numId w:val="0"/>
        </w:numPr>
        <w:rPr>
          <w:rFonts w:hint="eastAsia"/>
          <w:lang w:val="en-US" w:eastAsia="zh-CN"/>
        </w:rPr>
      </w:pPr>
      <w:r>
        <w:rPr>
          <w:rFonts w:hint="eastAsia"/>
          <w:lang w:eastAsia="zh-CN"/>
        </w:rPr>
        <w:t>2</w:t>
      </w:r>
      <w:r>
        <w:rPr>
          <w:lang w:eastAsia="zh-CN"/>
        </w:rPr>
        <w:t>.</w:t>
      </w:r>
      <w:r>
        <w:rPr>
          <w:rFonts w:hint="eastAsia"/>
          <w:lang w:val="en-US" w:eastAsia="zh-CN"/>
        </w:rPr>
        <w:t>2</w:t>
      </w:r>
      <w:r>
        <w:rPr>
          <w:lang w:eastAsia="zh-CN"/>
        </w:rPr>
        <w:t xml:space="preserve"> </w:t>
      </w:r>
      <w:r>
        <w:rPr>
          <w:rFonts w:hint="eastAsia"/>
          <w:lang w:val="en-US" w:eastAsia="zh-CN"/>
        </w:rPr>
        <w:t xml:space="preserve">RRM core requirements </w:t>
      </w:r>
    </w:p>
    <w:p>
      <w:pPr>
        <w:numPr>
          <w:ilvl w:val="-1"/>
          <w:numId w:val="0"/>
        </w:numPr>
        <w:jc w:val="both"/>
        <w:rPr>
          <w:rFonts w:hint="eastAsia" w:eastAsia="宋体"/>
          <w:sz w:val="22"/>
          <w:szCs w:val="22"/>
          <w:lang w:val="en-US" w:eastAsia="zh-CN"/>
        </w:rPr>
      </w:pPr>
      <w:r>
        <w:rPr>
          <w:rFonts w:hint="default" w:ascii="Times New Roman" w:hAnsi="Times New Roman" w:eastAsia="宋体"/>
          <w:sz w:val="22"/>
          <w:szCs w:val="22"/>
          <w:lang w:val="en-US" w:eastAsia="zh-CN"/>
        </w:rPr>
        <w:t>The latest WID</w:t>
      </w:r>
      <w:r>
        <w:rPr>
          <w:rFonts w:hint="eastAsia" w:eastAsia="宋体"/>
          <w:sz w:val="22"/>
          <w:szCs w:val="22"/>
          <w:lang w:val="en-US" w:eastAsia="zh-CN"/>
        </w:rPr>
        <w:t xml:space="preserve"> states</w:t>
      </w:r>
      <w:r>
        <w:rPr>
          <w:rFonts w:hint="default" w:ascii="Times New Roman" w:hAnsi="Times New Roman" w:eastAsia="宋体"/>
          <w:sz w:val="22"/>
          <w:szCs w:val="22"/>
          <w:lang w:val="en-US" w:eastAsia="zh-CN"/>
        </w:rPr>
        <w:t xml:space="preserve"> leveraging the RedCap NTN HD-FDD solution for NTN HD-FDD VSAT where applicable.</w:t>
      </w:r>
      <w:r>
        <w:rPr>
          <w:rFonts w:hint="eastAsia" w:eastAsia="宋体"/>
          <w:sz w:val="22"/>
          <w:szCs w:val="22"/>
          <w:lang w:val="en-US" w:eastAsia="zh-CN"/>
        </w:rPr>
        <w:t xml:space="preserve"> </w:t>
      </w:r>
      <w:r>
        <w:rPr>
          <w:rFonts w:hint="default" w:ascii="Times New Roman" w:hAnsi="Times New Roman" w:eastAsia="宋体"/>
          <w:sz w:val="22"/>
          <w:szCs w:val="22"/>
          <w:lang w:val="en-US" w:eastAsia="zh-CN"/>
        </w:rPr>
        <w:t xml:space="preserve">We understand this as a directive to use the established RedCap NTN HD-FDD core requirements as a </w:t>
      </w:r>
      <w:r>
        <w:rPr>
          <w:rFonts w:hint="eastAsia" w:eastAsia="宋体"/>
          <w:sz w:val="22"/>
          <w:szCs w:val="22"/>
          <w:lang w:val="en-US" w:eastAsia="zh-CN"/>
        </w:rPr>
        <w:t>starting point</w:t>
      </w:r>
      <w:r>
        <w:rPr>
          <w:rFonts w:hint="default" w:ascii="Times New Roman" w:hAnsi="Times New Roman" w:eastAsia="宋体"/>
          <w:sz w:val="22"/>
          <w:szCs w:val="22"/>
          <w:lang w:val="en-US" w:eastAsia="zh-CN"/>
        </w:rPr>
        <w:t xml:space="preserve"> for defining the RRM requirements for VSAT. Thus, the first step is to systematically review the RedCap requirements to ensure consistency when applying the same logic to the VSAT </w:t>
      </w:r>
      <w:r>
        <w:rPr>
          <w:rFonts w:hint="eastAsia" w:eastAsia="宋体"/>
          <w:sz w:val="22"/>
          <w:szCs w:val="22"/>
          <w:lang w:val="en-US" w:eastAsia="zh-CN"/>
        </w:rPr>
        <w:t>types 2,3,5,6 (Case 1)</w:t>
      </w:r>
      <w:r>
        <w:rPr>
          <w:rFonts w:hint="default" w:ascii="Times New Roman" w:hAnsi="Times New Roman" w:eastAsia="宋体"/>
          <w:sz w:val="22"/>
          <w:szCs w:val="22"/>
          <w:lang w:val="en-US" w:eastAsia="zh-CN"/>
        </w:rPr>
        <w:t>.</w:t>
      </w:r>
      <w:r>
        <w:rPr>
          <w:rFonts w:hint="eastAsia" w:eastAsia="宋体"/>
          <w:sz w:val="22"/>
          <w:szCs w:val="22"/>
          <w:lang w:val="en-US" w:eastAsia="zh-CN"/>
        </w:rPr>
        <w:t xml:space="preserve"> The agreements from the last meeting are listed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120" w:afterAutospacing="0"/>
              <w:ind w:left="0" w:right="0"/>
              <w:rPr>
                <w:rFonts w:hint="default" w:eastAsia="MS Mincho"/>
                <w:sz w:val="20"/>
                <w:szCs w:val="20"/>
                <w:lang w:val="en-US"/>
              </w:rPr>
            </w:pPr>
            <w:r>
              <w:rPr>
                <w:rFonts w:hint="default" w:eastAsia="MS Mincho"/>
                <w:sz w:val="20"/>
                <w:szCs w:val="20"/>
              </w:rPr>
              <w:t>Agreement</w:t>
            </w:r>
          </w:p>
          <w:p>
            <w:pPr>
              <w:pStyle w:val="74"/>
              <w:keepNext w:val="0"/>
              <w:keepLines w:val="0"/>
              <w:widowControl/>
              <w:numPr>
                <w:ilvl w:val="0"/>
                <w:numId w:val="6"/>
              </w:numPr>
              <w:suppressLineNumbers w:val="0"/>
              <w:spacing w:before="0" w:beforeAutospacing="0" w:after="120" w:afterAutospacing="0"/>
              <w:ind w:right="0" w:firstLineChars="0"/>
              <w:textAlignment w:val="auto"/>
              <w:rPr>
                <w:rFonts w:hint="default"/>
              </w:rPr>
            </w:pPr>
            <w:r>
              <w:rPr>
                <w:rFonts w:hint="default"/>
              </w:rPr>
              <w:t>Define the HD</w:t>
            </w:r>
            <w:r>
              <w:rPr>
                <w:rFonts w:hint="default"/>
              </w:rPr>
              <w:noBreakHyphen/>
            </w:r>
            <w:r>
              <w:rPr>
                <w:rFonts w:hint="default"/>
              </w:rPr>
              <w:t>FDD VSAT with FR1 numerology RRM requirements based on the Rel</w:t>
            </w:r>
            <w:r>
              <w:rPr>
                <w:rFonts w:hint="default"/>
              </w:rPr>
              <w:noBreakHyphen/>
            </w:r>
            <w:r>
              <w:rPr>
                <w:rFonts w:hint="default"/>
              </w:rPr>
              <w:t>19 Ku</w:t>
            </w:r>
            <w:r>
              <w:rPr>
                <w:rFonts w:hint="default"/>
              </w:rPr>
              <w:noBreakHyphen/>
            </w:r>
            <w:r>
              <w:rPr>
                <w:rFonts w:hint="default"/>
              </w:rPr>
              <w:t>band NTN FDD requirements, and incorporate updates to address HD</w:t>
            </w:r>
            <w:r>
              <w:rPr>
                <w:rFonts w:hint="default"/>
              </w:rPr>
              <w:noBreakHyphen/>
            </w:r>
            <w:r>
              <w:rPr>
                <w:rFonts w:hint="default"/>
              </w:rPr>
              <w:t>FDD impacts, using the RedCap NTN approach as the baseline.</w:t>
            </w:r>
          </w:p>
          <w:p>
            <w:pPr>
              <w:pStyle w:val="74"/>
              <w:keepNext w:val="0"/>
              <w:keepLines w:val="0"/>
              <w:widowControl/>
              <w:numPr>
                <w:ilvl w:val="0"/>
                <w:numId w:val="6"/>
              </w:numPr>
              <w:suppressLineNumbers w:val="0"/>
              <w:spacing w:before="0" w:beforeAutospacing="0" w:after="120" w:afterAutospacing="0"/>
              <w:ind w:right="0" w:firstLineChars="0"/>
              <w:textAlignment w:val="auto"/>
              <w:rPr>
                <w:rFonts w:hint="default"/>
              </w:rPr>
            </w:pPr>
            <w:r>
              <w:rPr>
                <w:rFonts w:hint="default"/>
              </w:rPr>
              <w:t>The following RRM requirements scope for HD</w:t>
            </w:r>
            <w:r>
              <w:rPr>
                <w:rFonts w:hint="default"/>
              </w:rPr>
              <w:noBreakHyphen/>
            </w:r>
            <w:r>
              <w:rPr>
                <w:rFonts w:hint="default"/>
              </w:rPr>
              <w:t>FDD VSAT in Ku band with FR1 numerology</w:t>
            </w:r>
          </w:p>
          <w:p>
            <w:pPr>
              <w:pStyle w:val="74"/>
              <w:keepNext w:val="0"/>
              <w:keepLines w:val="0"/>
              <w:widowControl/>
              <w:numPr>
                <w:ilvl w:val="1"/>
                <w:numId w:val="6"/>
              </w:numPr>
              <w:suppressLineNumbers w:val="0"/>
              <w:spacing w:before="0" w:beforeAutospacing="0" w:after="120" w:afterAutospacing="0"/>
              <w:ind w:right="0" w:firstLineChars="0"/>
              <w:textAlignment w:val="auto"/>
              <w:rPr>
                <w:rFonts w:hint="default"/>
              </w:rPr>
            </w:pPr>
            <w:r>
              <w:rPr>
                <w:rFonts w:hint="default"/>
              </w:rPr>
              <w:t>Cell reselection, including paging reception</w:t>
            </w:r>
          </w:p>
          <w:p>
            <w:pPr>
              <w:pStyle w:val="74"/>
              <w:keepNext w:val="0"/>
              <w:keepLines w:val="0"/>
              <w:widowControl/>
              <w:numPr>
                <w:ilvl w:val="1"/>
                <w:numId w:val="6"/>
              </w:numPr>
              <w:suppressLineNumbers w:val="0"/>
              <w:spacing w:before="0" w:beforeAutospacing="0" w:after="120" w:afterAutospacing="0"/>
              <w:ind w:right="0" w:firstLineChars="0"/>
              <w:textAlignment w:val="auto"/>
              <w:rPr>
                <w:rFonts w:hint="default"/>
              </w:rPr>
            </w:pPr>
            <w:r>
              <w:rPr>
                <w:rFonts w:hint="default"/>
              </w:rPr>
              <w:t>Handover and CHO</w:t>
            </w:r>
          </w:p>
          <w:p>
            <w:pPr>
              <w:pStyle w:val="74"/>
              <w:keepNext w:val="0"/>
              <w:keepLines w:val="0"/>
              <w:widowControl/>
              <w:numPr>
                <w:ilvl w:val="1"/>
                <w:numId w:val="6"/>
              </w:numPr>
              <w:suppressLineNumbers w:val="0"/>
              <w:spacing w:before="0" w:beforeAutospacing="0" w:after="120" w:afterAutospacing="0"/>
              <w:ind w:right="0" w:firstLineChars="0"/>
              <w:textAlignment w:val="auto"/>
              <w:rPr>
                <w:rFonts w:hint="default"/>
              </w:rPr>
            </w:pPr>
            <w:r>
              <w:rPr>
                <w:rFonts w:hint="default"/>
              </w:rPr>
              <w:t>Satellite switching</w:t>
            </w:r>
          </w:p>
          <w:p>
            <w:pPr>
              <w:pStyle w:val="74"/>
              <w:keepNext w:val="0"/>
              <w:keepLines w:val="0"/>
              <w:widowControl/>
              <w:numPr>
                <w:ilvl w:val="1"/>
                <w:numId w:val="6"/>
              </w:numPr>
              <w:suppressLineNumbers w:val="0"/>
              <w:spacing w:before="0" w:beforeAutospacing="0" w:after="120" w:afterAutospacing="0"/>
              <w:ind w:right="0" w:firstLineChars="0"/>
              <w:textAlignment w:val="auto"/>
              <w:rPr>
                <w:rFonts w:hint="default"/>
              </w:rPr>
            </w:pPr>
            <w:r>
              <w:rPr>
                <w:rFonts w:hint="default"/>
              </w:rPr>
              <w:t>Random access</w:t>
            </w:r>
          </w:p>
          <w:p>
            <w:pPr>
              <w:pStyle w:val="74"/>
              <w:keepNext w:val="0"/>
              <w:keepLines w:val="0"/>
              <w:widowControl/>
              <w:numPr>
                <w:ilvl w:val="1"/>
                <w:numId w:val="6"/>
              </w:numPr>
              <w:suppressLineNumbers w:val="0"/>
              <w:spacing w:before="0" w:beforeAutospacing="0" w:after="120" w:afterAutospacing="0"/>
              <w:ind w:right="0" w:firstLineChars="0"/>
              <w:textAlignment w:val="auto"/>
              <w:rPr>
                <w:rFonts w:hint="default"/>
              </w:rPr>
            </w:pPr>
            <w:r>
              <w:rPr>
                <w:rFonts w:hint="default"/>
              </w:rPr>
              <w:t xml:space="preserve">UE UL timing accuracy </w:t>
            </w:r>
          </w:p>
          <w:p>
            <w:pPr>
              <w:pStyle w:val="74"/>
              <w:keepNext w:val="0"/>
              <w:keepLines w:val="0"/>
              <w:widowControl/>
              <w:numPr>
                <w:ilvl w:val="1"/>
                <w:numId w:val="6"/>
              </w:numPr>
              <w:suppressLineNumbers w:val="0"/>
              <w:spacing w:before="0" w:beforeAutospacing="0" w:after="120" w:afterAutospacing="0"/>
              <w:ind w:right="0" w:firstLineChars="0"/>
              <w:textAlignment w:val="auto"/>
              <w:rPr>
                <w:rFonts w:hint="default"/>
              </w:rPr>
            </w:pPr>
            <w:r>
              <w:rPr>
                <w:rFonts w:hint="default"/>
              </w:rPr>
              <w:t>RLM, including scheduling availability and L1 indication</w:t>
            </w:r>
          </w:p>
          <w:p>
            <w:pPr>
              <w:pStyle w:val="74"/>
              <w:keepNext w:val="0"/>
              <w:keepLines w:val="0"/>
              <w:widowControl/>
              <w:numPr>
                <w:ilvl w:val="1"/>
                <w:numId w:val="6"/>
              </w:numPr>
              <w:suppressLineNumbers w:val="0"/>
              <w:spacing w:before="0" w:beforeAutospacing="0" w:after="120" w:afterAutospacing="0"/>
              <w:ind w:right="0" w:firstLineChars="0"/>
              <w:textAlignment w:val="auto"/>
              <w:rPr>
                <w:rFonts w:hint="default"/>
              </w:rPr>
            </w:pPr>
            <w:r>
              <w:rPr>
                <w:rFonts w:hint="default"/>
              </w:rPr>
              <w:t>intra/inter-frequency measurements, including scheduling availability</w:t>
            </w:r>
          </w:p>
          <w:p>
            <w:pPr>
              <w:pStyle w:val="74"/>
              <w:keepNext w:val="0"/>
              <w:keepLines w:val="0"/>
              <w:widowControl/>
              <w:numPr>
                <w:ilvl w:val="1"/>
                <w:numId w:val="6"/>
              </w:numPr>
              <w:suppressLineNumbers w:val="0"/>
              <w:spacing w:before="0" w:beforeAutospacing="0" w:after="120" w:afterAutospacing="0"/>
              <w:ind w:right="0" w:firstLineChars="0"/>
              <w:textAlignment w:val="auto"/>
              <w:rPr>
                <w:rFonts w:hint="default"/>
              </w:rPr>
            </w:pPr>
            <w:r>
              <w:rPr>
                <w:rFonts w:hint="default"/>
              </w:rPr>
              <w:t>L1-RSRP measurement, including scheduling availability</w:t>
            </w:r>
          </w:p>
          <w:p>
            <w:pPr>
              <w:keepNext w:val="0"/>
              <w:keepLines w:val="0"/>
              <w:widowControl/>
              <w:numPr>
                <w:ilvl w:val="-1"/>
                <w:numId w:val="0"/>
              </w:numPr>
              <w:suppressLineNumbers w:val="0"/>
              <w:spacing w:before="0" w:beforeAutospacing="0" w:afterAutospacing="0"/>
              <w:ind w:left="0" w:right="0"/>
              <w:jc w:val="both"/>
              <w:rPr>
                <w:rFonts w:hint="default" w:eastAsia="宋体"/>
                <w:sz w:val="22"/>
                <w:szCs w:val="22"/>
                <w:vertAlign w:val="baseline"/>
                <w:lang w:val="en-US" w:eastAsia="zh-CN"/>
              </w:rPr>
            </w:pPr>
          </w:p>
        </w:tc>
      </w:tr>
    </w:tbl>
    <w:p>
      <w:pPr>
        <w:numPr>
          <w:ilvl w:val="-1"/>
          <w:numId w:val="0"/>
        </w:numPr>
        <w:spacing w:beforeLines="50" w:after="0" w:afterLines="50"/>
        <w:jc w:val="both"/>
        <w:rPr>
          <w:rFonts w:hint="default" w:eastAsia="宋体"/>
          <w:sz w:val="22"/>
          <w:szCs w:val="22"/>
          <w:lang w:val="en-US" w:eastAsia="zh-CN"/>
        </w:rPr>
      </w:pPr>
      <w:r>
        <w:rPr>
          <w:rFonts w:hint="eastAsia" w:eastAsia="宋体"/>
          <w:sz w:val="22"/>
          <w:szCs w:val="22"/>
          <w:lang w:val="en-US" w:eastAsia="zh-CN"/>
        </w:rPr>
        <w:t>It is observed that RedCap NTN approach shall serve as the baseline for defining the RRM requirements for HD-FDD VSAT with FR1 numerology. The following sections provides as analysis of individual requirements based on the preceding table.</w:t>
      </w:r>
    </w:p>
    <w:p>
      <w:pPr>
        <w:pStyle w:val="4"/>
        <w:rPr>
          <w:rFonts w:hint="default"/>
          <w:sz w:val="22"/>
          <w:szCs w:val="16"/>
          <w:lang w:val="en-US" w:eastAsia="zh-CN"/>
        </w:rPr>
      </w:pPr>
      <w:r>
        <w:rPr>
          <w:rFonts w:hint="eastAsia"/>
          <w:sz w:val="22"/>
          <w:szCs w:val="16"/>
          <w:lang w:val="en-US" w:eastAsia="zh-CN"/>
        </w:rPr>
        <w:t>2.2.1 Maximum interruption in paging reception</w:t>
      </w:r>
    </w:p>
    <w:p>
      <w:pPr>
        <w:numPr>
          <w:ilvl w:val="-1"/>
          <w:numId w:val="0"/>
        </w:numPr>
        <w:spacing w:beforeLines="50" w:after="0" w:afterLines="50"/>
        <w:jc w:val="both"/>
        <w:rPr>
          <w:rFonts w:hint="eastAsia" w:eastAsia="宋体"/>
          <w:sz w:val="22"/>
          <w:szCs w:val="22"/>
          <w:lang w:val="en-US" w:eastAsia="zh-CN"/>
        </w:rPr>
      </w:pPr>
      <w:r>
        <w:rPr>
          <w:rFonts w:hint="eastAsia" w:eastAsia="宋体"/>
          <w:sz w:val="22"/>
          <w:szCs w:val="22"/>
          <w:lang w:val="en-US" w:eastAsia="zh-CN"/>
        </w:rPr>
        <w:t>Among cell re-selection requirements, only the maximum interruption in paging reception has a material impact on HD-FDD UEs:</w:t>
      </w:r>
    </w:p>
    <w:p>
      <w:pPr>
        <w:numPr>
          <w:ilvl w:val="-1"/>
          <w:numId w:val="0"/>
        </w:numPr>
        <w:spacing w:beforeLines="50" w:after="0" w:afterLines="50"/>
        <w:jc w:val="both"/>
        <w:rPr>
          <w:rFonts w:hint="eastAsia" w:eastAsia="宋体"/>
          <w:sz w:val="22"/>
          <w:szCs w:val="22"/>
          <w:lang w:val="en-US" w:eastAsia="zh-CN"/>
        </w:rPr>
      </w:pPr>
      <w:r>
        <w:rPr>
          <w:rFonts w:hint="eastAsia" w:eastAsia="宋体"/>
          <w:sz w:val="22"/>
          <w:szCs w:val="22"/>
          <w:lang w:val="en-US" w:eastAsia="zh-CN"/>
        </w:rPr>
        <w:t>-</w:t>
      </w:r>
      <w:r>
        <w:rPr>
          <w:rFonts w:hint="eastAsia" w:eastAsia="宋体"/>
          <w:sz w:val="22"/>
          <w:szCs w:val="22"/>
          <w:lang w:val="en-US" w:eastAsia="zh-CN"/>
        </w:rPr>
        <w:tab/>
      </w:r>
      <w:r>
        <w:rPr>
          <w:rFonts w:hint="eastAsia" w:eastAsia="宋体"/>
          <w:sz w:val="22"/>
          <w:szCs w:val="22"/>
          <w:lang w:val="en-US" w:eastAsia="zh-CN"/>
        </w:rPr>
        <w:t>The 1Rx RedCap in HD-FDD shall meet all applicable requirements specified in clause 4.2C.2.5 under following conditions:</w:t>
      </w:r>
    </w:p>
    <w:p>
      <w:pPr>
        <w:numPr>
          <w:ilvl w:val="-1"/>
          <w:numId w:val="0"/>
        </w:numPr>
        <w:spacing w:beforeLines="50" w:after="0" w:afterLines="50"/>
        <w:ind w:left="0" w:firstLine="284"/>
        <w:jc w:val="both"/>
        <w:rPr>
          <w:rFonts w:hint="default" w:eastAsia="宋体"/>
          <w:sz w:val="22"/>
          <w:szCs w:val="22"/>
          <w:lang w:val="en-US" w:eastAsia="zh-CN"/>
        </w:rPr>
      </w:pPr>
      <w:r>
        <w:rPr>
          <w:rFonts w:hint="eastAsia" w:eastAsia="宋体"/>
          <w:sz w:val="22"/>
          <w:szCs w:val="22"/>
          <w:lang w:val="en-US" w:eastAsia="zh-CN"/>
        </w:rPr>
        <w:t>-</w:t>
      </w:r>
      <w:r>
        <w:rPr>
          <w:rFonts w:hint="eastAsia" w:eastAsia="宋体"/>
          <w:sz w:val="22"/>
          <w:szCs w:val="22"/>
          <w:lang w:val="en-US" w:eastAsia="zh-CN"/>
        </w:rPr>
        <w:tab/>
      </w:r>
      <w:r>
        <w:rPr>
          <w:rFonts w:hint="eastAsia" w:eastAsia="宋体"/>
          <w:sz w:val="22"/>
          <w:szCs w:val="22"/>
          <w:lang w:val="en-US" w:eastAsia="zh-CN"/>
        </w:rPr>
        <w:t>At least 1 SSB is available at the UE in the serving cell during the last 160ms duration.</w:t>
      </w:r>
    </w:p>
    <w:p>
      <w:pPr>
        <w:numPr>
          <w:ilvl w:val="-1"/>
          <w:numId w:val="0"/>
        </w:numPr>
        <w:spacing w:beforeLines="50" w:after="0" w:afterLines="50"/>
        <w:ind w:left="0" w:firstLine="0"/>
        <w:jc w:val="both"/>
        <w:rPr>
          <w:rFonts w:hint="eastAsia" w:eastAsia="宋体"/>
          <w:sz w:val="22"/>
          <w:szCs w:val="22"/>
          <w:lang w:val="en-US" w:eastAsia="zh-CN"/>
        </w:rPr>
      </w:pPr>
      <w:r>
        <w:rPr>
          <w:rFonts w:hint="eastAsia" w:eastAsia="宋体"/>
          <w:sz w:val="22"/>
          <w:szCs w:val="22"/>
          <w:lang w:val="en-US" w:eastAsia="zh-CN"/>
        </w:rPr>
        <w:t>In practice, for normal UEs, the RF chain cannot achieve complete isolation. This may introduce internal interference or others, leading to interruption in paging reception from the serving cell during cell reselection measurements. The same rationale applies to HD-FDD UEs.</w:t>
      </w:r>
    </w:p>
    <w:p>
      <w:pPr>
        <w:numPr>
          <w:ilvl w:val="-1"/>
          <w:numId w:val="0"/>
        </w:numPr>
        <w:spacing w:beforeLines="50" w:after="0" w:afterLines="50"/>
        <w:ind w:left="0" w:firstLine="0"/>
        <w:jc w:val="both"/>
        <w:rPr>
          <w:rFonts w:hint="eastAsia" w:eastAsia="宋体"/>
          <w:sz w:val="22"/>
          <w:szCs w:val="22"/>
          <w:lang w:val="en-US" w:eastAsia="zh-CN"/>
        </w:rPr>
      </w:pPr>
      <w:r>
        <w:rPr>
          <w:rFonts w:hint="eastAsia" w:eastAsia="宋体"/>
          <w:sz w:val="22"/>
          <w:szCs w:val="22"/>
          <w:lang w:val="en-US" w:eastAsia="zh-CN"/>
        </w:rPr>
        <w:t>However, the current specification introduces additional applicability rules specifically for HD-FDD UEs, which distinguishes them from FD-FDD UEs. A key characteristic of HD-FDD is its inability to transmit and receive transmission simultaneously. Thus, if HD-FDD UE returns to serving cell and ready to receive paging message, while UE is performing an uplink transmission and happens to miss an SSB from the serving cell. It may fail to acquire synchronization, resulting in paging reception failure. At least 1 SSB is available at the UE in the serving cell during the last 160ms duration is the worst case.</w:t>
      </w:r>
    </w:p>
    <w:p>
      <w:pPr>
        <w:numPr>
          <w:ilvl w:val="-1"/>
          <w:numId w:val="0"/>
        </w:numPr>
        <w:spacing w:beforeLines="50" w:after="0" w:afterLines="50"/>
        <w:ind w:left="0" w:firstLine="0"/>
        <w:jc w:val="both"/>
        <w:rPr>
          <w:rFonts w:hint="default" w:eastAsia="宋体"/>
          <w:sz w:val="22"/>
          <w:szCs w:val="22"/>
          <w:lang w:val="en-US" w:eastAsia="zh-CN"/>
        </w:rPr>
      </w:pPr>
      <w:r>
        <w:rPr>
          <w:rFonts w:hint="eastAsia" w:eastAsia="宋体"/>
          <w:sz w:val="22"/>
          <w:szCs w:val="22"/>
          <w:lang w:val="en-US" w:eastAsia="zh-CN"/>
        </w:rPr>
        <w:t xml:space="preserve">In summary, maximum paging reception interruption is influenced primarily by internal RF chain and is not strongly dependent on UE type. For HD-FDD VSAT UE, it is essential to ensure that at least one SSB is available during the last 160ms. </w:t>
      </w:r>
    </w:p>
    <w:p>
      <w:pPr>
        <w:numPr>
          <w:ilvl w:val="-1"/>
          <w:numId w:val="0"/>
        </w:numPr>
        <w:spacing w:beforeLines="50" w:after="0" w:afterLines="50"/>
        <w:ind w:left="0" w:firstLine="0"/>
        <w:jc w:val="both"/>
        <w:rPr>
          <w:rFonts w:hint="eastAsia" w:eastAsia="宋体"/>
          <w:b/>
          <w:bCs/>
          <w:sz w:val="22"/>
          <w:szCs w:val="22"/>
          <w:lang w:val="en-US" w:eastAsia="zh-CN"/>
        </w:rPr>
      </w:pPr>
      <w:r>
        <w:rPr>
          <w:rFonts w:hint="eastAsia" w:eastAsia="宋体"/>
          <w:b/>
          <w:bCs/>
          <w:sz w:val="22"/>
          <w:szCs w:val="22"/>
          <w:lang w:val="en-US" w:eastAsia="zh-CN"/>
        </w:rPr>
        <w:t>Proposal 2: Regarding HD-FDD VSAT UE, the legacy maximum interruption in paging reception could be reused with the following legacy applicability rule:</w:t>
      </w:r>
    </w:p>
    <w:p>
      <w:pPr>
        <w:numPr>
          <w:ilvl w:val="-1"/>
          <w:numId w:val="0"/>
        </w:numPr>
        <w:spacing w:beforeLines="50" w:after="0" w:afterLines="50"/>
        <w:ind w:left="0" w:firstLine="284"/>
        <w:jc w:val="both"/>
        <w:rPr>
          <w:rFonts w:hint="default" w:eastAsia="宋体"/>
          <w:b/>
          <w:bCs/>
          <w:sz w:val="22"/>
          <w:szCs w:val="22"/>
          <w:lang w:val="en-US" w:eastAsia="zh-CN"/>
        </w:rPr>
      </w:pPr>
      <w:r>
        <w:rPr>
          <w:rFonts w:hint="eastAsia" w:eastAsia="宋体"/>
          <w:b/>
          <w:bCs/>
          <w:sz w:val="22"/>
          <w:szCs w:val="22"/>
          <w:lang w:val="en-US" w:eastAsia="zh-CN"/>
        </w:rPr>
        <w:t>-</w:t>
      </w:r>
      <w:r>
        <w:rPr>
          <w:rFonts w:hint="eastAsia" w:eastAsia="宋体"/>
          <w:b/>
          <w:bCs/>
          <w:sz w:val="22"/>
          <w:szCs w:val="22"/>
          <w:lang w:val="en-US" w:eastAsia="zh-CN"/>
        </w:rPr>
        <w:tab/>
      </w:r>
      <w:r>
        <w:rPr>
          <w:rFonts w:hint="eastAsia" w:eastAsia="宋体"/>
          <w:b/>
          <w:bCs/>
          <w:sz w:val="22"/>
          <w:szCs w:val="22"/>
          <w:lang w:val="en-US" w:eastAsia="zh-CN"/>
        </w:rPr>
        <w:t>At least one SSB is available at the UE in serving cell during the last 160ms duration.</w:t>
      </w:r>
    </w:p>
    <w:p>
      <w:pPr>
        <w:pStyle w:val="4"/>
        <w:jc w:val="both"/>
        <w:rPr>
          <w:rFonts w:hint="default"/>
          <w:sz w:val="22"/>
          <w:szCs w:val="16"/>
          <w:lang w:val="en-US" w:eastAsia="zh-CN"/>
        </w:rPr>
      </w:pPr>
      <w:r>
        <w:rPr>
          <w:rFonts w:hint="eastAsia"/>
          <w:sz w:val="22"/>
          <w:szCs w:val="16"/>
          <w:lang w:val="en-US" w:eastAsia="zh-CN"/>
        </w:rPr>
        <w:t>2.2.2 Handover and conditional handover requirements</w:t>
      </w:r>
    </w:p>
    <w:p>
      <w:pPr>
        <w:numPr>
          <w:ilvl w:val="-1"/>
          <w:numId w:val="0"/>
        </w:numPr>
        <w:spacing w:beforeLines="50" w:after="0" w:afterLines="50"/>
        <w:jc w:val="both"/>
        <w:rPr>
          <w:rFonts w:hint="eastAsia" w:eastAsia="宋体"/>
          <w:sz w:val="22"/>
          <w:szCs w:val="22"/>
          <w:lang w:val="en-US" w:eastAsia="zh-CN"/>
        </w:rPr>
      </w:pPr>
      <w:r>
        <w:rPr>
          <w:rFonts w:hint="eastAsia" w:eastAsia="宋体"/>
          <w:sz w:val="22"/>
          <w:szCs w:val="22"/>
          <w:lang w:val="en-US" w:eastAsia="zh-CN"/>
        </w:rPr>
        <w:t>For RACH-based handover, the following rules shall be added:</w:t>
      </w:r>
    </w:p>
    <w:p>
      <w:pPr>
        <w:numPr>
          <w:ilvl w:val="0"/>
          <w:numId w:val="7"/>
        </w:numPr>
        <w:spacing w:beforeLines="50" w:after="0" w:afterLines="50"/>
        <w:jc w:val="both"/>
        <w:rPr>
          <w:rFonts w:hint="default" w:eastAsia="宋体"/>
          <w:sz w:val="22"/>
          <w:szCs w:val="22"/>
          <w:lang w:val="en-US" w:eastAsia="zh-CN"/>
        </w:rPr>
      </w:pPr>
      <w:r>
        <w:rPr>
          <w:rFonts w:hint="default" w:eastAsia="宋体"/>
          <w:sz w:val="22"/>
          <w:szCs w:val="22"/>
          <w:lang w:val="en-US" w:eastAsia="zh-CN"/>
        </w:rPr>
        <w:t>For RACH-based HO, following applicability rules to adapt HD-FDD case should be added:</w:t>
      </w:r>
    </w:p>
    <w:p>
      <w:pPr>
        <w:numPr>
          <w:ilvl w:val="1"/>
          <w:numId w:val="0"/>
        </w:numPr>
        <w:spacing w:beforeLines="50" w:after="0" w:afterLines="50"/>
        <w:ind w:leftChars="100"/>
        <w:jc w:val="both"/>
        <w:rPr>
          <w:rFonts w:hint="default" w:eastAsia="宋体"/>
          <w:sz w:val="22"/>
          <w:szCs w:val="22"/>
          <w:lang w:val="en-US" w:eastAsia="zh-CN"/>
        </w:rPr>
      </w:pPr>
      <w:r>
        <w:rPr>
          <w:rFonts w:hint="default" w:eastAsia="宋体"/>
          <w:sz w:val="22"/>
          <w:szCs w:val="22"/>
          <w:lang w:val="en-US" w:eastAsia="zh-CN"/>
        </w:rPr>
        <w:t>-SSB is available at the UE once every SMTC period during Tsearch</w:t>
      </w:r>
    </w:p>
    <w:p>
      <w:pPr>
        <w:numPr>
          <w:ilvl w:val="1"/>
          <w:numId w:val="0"/>
        </w:numPr>
        <w:spacing w:beforeLines="50" w:after="0" w:afterLines="50"/>
        <w:ind w:leftChars="100"/>
        <w:jc w:val="both"/>
        <w:rPr>
          <w:rFonts w:hint="default" w:eastAsia="宋体"/>
          <w:sz w:val="22"/>
          <w:szCs w:val="22"/>
          <w:lang w:val="en-US" w:eastAsia="zh-CN"/>
        </w:rPr>
      </w:pPr>
      <w:r>
        <w:rPr>
          <w:rFonts w:hint="default" w:eastAsia="宋体"/>
          <w:sz w:val="22"/>
          <w:szCs w:val="22"/>
          <w:lang w:val="en-US" w:eastAsia="zh-CN"/>
        </w:rPr>
        <w:t>-One SSB is available during T</w:t>
      </w:r>
      <w:r>
        <w:rPr>
          <w:rFonts w:hint="default" w:eastAsia="宋体"/>
          <w:sz w:val="22"/>
          <w:szCs w:val="22"/>
          <w:vertAlign w:val="subscript"/>
          <w:lang w:val="en-US" w:eastAsia="zh-CN"/>
        </w:rPr>
        <w:t>∆</w:t>
      </w:r>
    </w:p>
    <w:p>
      <w:pPr>
        <w:numPr>
          <w:ilvl w:val="1"/>
          <w:numId w:val="0"/>
        </w:numPr>
        <w:spacing w:beforeLines="50" w:after="0" w:afterLines="50"/>
        <w:ind w:leftChars="100"/>
        <w:jc w:val="both"/>
        <w:rPr>
          <w:rFonts w:hint="default" w:eastAsia="宋体"/>
          <w:sz w:val="22"/>
          <w:szCs w:val="22"/>
          <w:lang w:val="en-US" w:eastAsia="zh-CN"/>
        </w:rPr>
      </w:pPr>
      <w:r>
        <w:rPr>
          <w:rFonts w:hint="default" w:eastAsia="宋体"/>
          <w:sz w:val="22"/>
          <w:szCs w:val="22"/>
          <w:lang w:val="en-US" w:eastAsia="zh-CN"/>
        </w:rPr>
        <w:t>-One SSB is available during T</w:t>
      </w:r>
      <w:r>
        <w:rPr>
          <w:rFonts w:hint="default" w:eastAsia="宋体"/>
          <w:sz w:val="22"/>
          <w:szCs w:val="22"/>
          <w:vertAlign w:val="subscript"/>
          <w:lang w:val="en-US" w:eastAsia="zh-CN"/>
        </w:rPr>
        <w:t>IU</w:t>
      </w:r>
    </w:p>
    <w:p>
      <w:pPr>
        <w:numPr>
          <w:ilvl w:val="0"/>
          <w:numId w:val="7"/>
        </w:numPr>
        <w:spacing w:beforeLines="50" w:after="0" w:afterLines="50"/>
        <w:jc w:val="both"/>
        <w:rPr>
          <w:rFonts w:hint="default" w:eastAsia="宋体"/>
          <w:sz w:val="22"/>
          <w:szCs w:val="22"/>
          <w:lang w:val="en-US" w:eastAsia="zh-CN"/>
        </w:rPr>
      </w:pPr>
      <w:r>
        <w:rPr>
          <w:rFonts w:hint="default" w:eastAsia="宋体"/>
          <w:sz w:val="22"/>
          <w:szCs w:val="22"/>
          <w:lang w:val="en-US" w:eastAsia="zh-CN"/>
        </w:rPr>
        <w:t>For Time/location-based CHO with L3 measurement, following applicability rules to adapt HD-FDD case should be added:</w:t>
      </w:r>
    </w:p>
    <w:p>
      <w:pPr>
        <w:numPr>
          <w:ilvl w:val="1"/>
          <w:numId w:val="0"/>
        </w:numPr>
        <w:spacing w:beforeLines="50" w:after="0" w:afterLines="50"/>
        <w:ind w:leftChars="100"/>
        <w:jc w:val="both"/>
        <w:rPr>
          <w:rFonts w:hint="default" w:eastAsia="宋体"/>
          <w:sz w:val="22"/>
          <w:szCs w:val="22"/>
          <w:lang w:val="en-US" w:eastAsia="zh-CN"/>
        </w:rPr>
      </w:pPr>
      <w:r>
        <w:rPr>
          <w:rFonts w:hint="default" w:eastAsia="宋体"/>
          <w:sz w:val="22"/>
          <w:szCs w:val="22"/>
          <w:lang w:val="en-US" w:eastAsia="zh-CN"/>
        </w:rPr>
        <w:t>-One SSB is available during T</w:t>
      </w:r>
      <w:r>
        <w:rPr>
          <w:rFonts w:hint="default" w:eastAsia="宋体"/>
          <w:sz w:val="22"/>
          <w:szCs w:val="22"/>
          <w:vertAlign w:val="subscript"/>
          <w:lang w:val="en-US" w:eastAsia="zh-CN"/>
        </w:rPr>
        <w:t>∆</w:t>
      </w:r>
    </w:p>
    <w:p>
      <w:pPr>
        <w:numPr>
          <w:ilvl w:val="1"/>
          <w:numId w:val="0"/>
        </w:numPr>
        <w:spacing w:beforeLines="50" w:after="0" w:afterLines="50"/>
        <w:ind w:leftChars="100"/>
        <w:jc w:val="both"/>
        <w:rPr>
          <w:rFonts w:hint="default" w:eastAsia="宋体"/>
          <w:sz w:val="22"/>
          <w:szCs w:val="22"/>
          <w:vertAlign w:val="subscript"/>
          <w:lang w:val="en-US" w:eastAsia="zh-CN"/>
        </w:rPr>
      </w:pPr>
      <w:r>
        <w:rPr>
          <w:rFonts w:hint="eastAsia" w:eastAsia="宋体"/>
          <w:sz w:val="22"/>
          <w:szCs w:val="22"/>
          <w:lang w:val="en-US" w:eastAsia="zh-CN"/>
        </w:rPr>
        <w:t>-</w:t>
      </w:r>
      <w:r>
        <w:rPr>
          <w:rFonts w:hint="default" w:eastAsia="宋体"/>
          <w:sz w:val="22"/>
          <w:szCs w:val="22"/>
          <w:lang w:val="en-US" w:eastAsia="zh-CN"/>
        </w:rPr>
        <w:t>One SSB is available during T</w:t>
      </w:r>
      <w:r>
        <w:rPr>
          <w:rFonts w:hint="default" w:eastAsia="宋体"/>
          <w:sz w:val="22"/>
          <w:szCs w:val="22"/>
          <w:vertAlign w:val="subscript"/>
          <w:lang w:val="en-US" w:eastAsia="zh-CN"/>
        </w:rPr>
        <w:t>IU</w:t>
      </w:r>
    </w:p>
    <w:p>
      <w:pPr>
        <w:numPr>
          <w:ilvl w:val="1"/>
          <w:numId w:val="0"/>
        </w:numPr>
        <w:spacing w:beforeLines="50" w:after="0" w:afterLines="50"/>
        <w:ind w:leftChars="0"/>
        <w:jc w:val="both"/>
        <w:rPr>
          <w:rFonts w:hint="default" w:eastAsia="宋体"/>
          <w:sz w:val="22"/>
          <w:szCs w:val="22"/>
          <w:vertAlign w:val="baseline"/>
          <w:lang w:val="en-US" w:eastAsia="zh-CN"/>
        </w:rPr>
      </w:pPr>
      <w:r>
        <w:rPr>
          <w:rFonts w:hint="eastAsia" w:eastAsia="宋体"/>
          <w:sz w:val="22"/>
          <w:szCs w:val="22"/>
          <w:vertAlign w:val="baseline"/>
          <w:lang w:val="en-US" w:eastAsia="zh-CN"/>
        </w:rPr>
        <w:t>Actually, these applicability rules and requirements have been defined in Ka band NTN. In Rel-19 discussion, the frequency range for NTN has been extended and contained Ku band and Ka band, the following conclusion has been reached:</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1"/>
                <w:numId w:val="0"/>
              </w:numPr>
              <w:suppressLineNumbers w:val="0"/>
              <w:overflowPunct w:val="0"/>
              <w:autoSpaceDE w:val="0"/>
              <w:autoSpaceDN w:val="0"/>
              <w:adjustRightInd w:val="0"/>
              <w:snapToGrid w:val="0"/>
              <w:spacing w:before="0" w:beforeAutospacing="0" w:after="120" w:afterAutospacing="0"/>
              <w:ind w:left="0" w:right="0" w:firstLine="0"/>
              <w:textAlignment w:val="baseline"/>
              <w:rPr>
                <w:rFonts w:hint="default"/>
                <w:color w:val="000000"/>
                <w:sz w:val="20"/>
                <w:szCs w:val="21"/>
                <w:u w:val="single"/>
              </w:rPr>
            </w:pPr>
            <w:r>
              <w:rPr>
                <w:rFonts w:hint="eastAsia"/>
                <w:color w:val="000000"/>
                <w:sz w:val="20"/>
                <w:szCs w:val="21"/>
                <w:u w:val="single"/>
              </w:rPr>
              <w:t>A</w:t>
            </w:r>
            <w:r>
              <w:rPr>
                <w:rFonts w:hint="default"/>
                <w:color w:val="000000"/>
                <w:sz w:val="20"/>
                <w:szCs w:val="21"/>
                <w:u w:val="single"/>
              </w:rPr>
              <w:t xml:space="preserve">greement: </w:t>
            </w:r>
          </w:p>
          <w:p>
            <w:pPr>
              <w:keepNext w:val="0"/>
              <w:keepLines w:val="0"/>
              <w:widowControl/>
              <w:numPr>
                <w:ilvl w:val="0"/>
                <w:numId w:val="8"/>
              </w:numPr>
              <w:suppressLineNumbers w:val="0"/>
              <w:overflowPunct w:val="0"/>
              <w:autoSpaceDE w:val="0"/>
              <w:autoSpaceDN w:val="0"/>
              <w:adjustRightInd w:val="0"/>
              <w:snapToGrid w:val="0"/>
              <w:spacing w:before="0" w:beforeLines="-2147483648" w:beforeAutospacing="0" w:after="120" w:afterLines="-2147483648" w:afterAutospacing="0"/>
              <w:ind w:right="0"/>
              <w:jc w:val="left"/>
              <w:textAlignment w:val="baseline"/>
              <w:rPr>
                <w:rFonts w:hint="eastAsia" w:eastAsia="宋体"/>
                <w:sz w:val="22"/>
                <w:szCs w:val="22"/>
                <w:vertAlign w:val="baseline"/>
                <w:lang w:val="en-US" w:eastAsia="zh-CN"/>
              </w:rPr>
            </w:pPr>
            <w:r>
              <w:rPr>
                <w:rFonts w:hint="default" w:eastAsiaTheme="minorEastAsia"/>
                <w:color w:val="000000"/>
                <w:sz w:val="20"/>
                <w:szCs w:val="21"/>
                <w:lang w:val="en-GB"/>
              </w:rPr>
              <w:t xml:space="preserve">Clarify in clause 3.6.12 that “Unless otherwise stated, the requirements defined for FR2-NTN apply for VSAT working in FR1-NTN”. </w:t>
            </w:r>
          </w:p>
        </w:tc>
      </w:tr>
    </w:tbl>
    <w:p>
      <w:pPr>
        <w:numPr>
          <w:ilvl w:val="1"/>
          <w:numId w:val="0"/>
        </w:numPr>
        <w:spacing w:beforeLines="50" w:after="0" w:afterLines="50"/>
        <w:ind w:leftChars="0"/>
        <w:jc w:val="both"/>
        <w:rPr>
          <w:rFonts w:hint="eastAsia" w:eastAsia="宋体"/>
          <w:sz w:val="22"/>
          <w:szCs w:val="22"/>
          <w:vertAlign w:val="baseline"/>
          <w:lang w:val="en-US" w:eastAsia="zh-CN"/>
        </w:rPr>
      </w:pPr>
      <w:r>
        <w:rPr>
          <w:rFonts w:hint="eastAsia" w:eastAsia="宋体"/>
          <w:sz w:val="22"/>
          <w:szCs w:val="22"/>
          <w:vertAlign w:val="baseline"/>
          <w:lang w:val="en-US" w:eastAsia="zh-CN"/>
        </w:rPr>
        <w:t xml:space="preserve">Following this logic, it is deemed that the aforementioned applicability rules shall be reused. These rules ensure that HD-FDD VSAT UE will always have at least one SSB for measurement. Some companies have raised concerns that this approach may cause confusion with RAN1 agreements (Case 5). However, in legacy RedCap TN discussion, collision cases were already defined and SSB is always prioritized over UL transmission, but the related applicability rules have still been captured. Following the same rational, it is considered feasible to reuse the requirements by incorporating the above applicability rules. RAN1 agreement specifies that if SSB collides with UL transmission, then SSB is prioritized. This principle is not restricted to any specific scenario; whenever such a collision occurs, SSB always has the highest priority. In contrast, these applicability rules says the SSB shall be guaranteed to be measured within each defined time period. These are two distinct aspects. Consequently, it is concluded that the legacy FR2- NTN requirements could be reused, provided that the specific applicability rules are clearly captured. </w:t>
      </w:r>
    </w:p>
    <w:p>
      <w:pPr>
        <w:numPr>
          <w:ilvl w:val="-1"/>
          <w:numId w:val="0"/>
        </w:numPr>
        <w:spacing w:beforeLines="50" w:after="0" w:afterLines="50"/>
        <w:ind w:left="0" w:firstLine="0"/>
        <w:jc w:val="both"/>
        <w:rPr>
          <w:rFonts w:hint="default" w:eastAsia="宋体"/>
          <w:b/>
          <w:bCs/>
          <w:sz w:val="22"/>
          <w:szCs w:val="22"/>
          <w:lang w:val="en-US" w:eastAsia="zh-CN"/>
        </w:rPr>
      </w:pPr>
      <w:r>
        <w:rPr>
          <w:rFonts w:hint="eastAsia" w:eastAsia="宋体"/>
          <w:b/>
          <w:bCs/>
          <w:sz w:val="22"/>
          <w:szCs w:val="22"/>
          <w:lang w:val="en-US" w:eastAsia="zh-CN"/>
        </w:rPr>
        <w:t>Observation 1: I</w:t>
      </w:r>
      <w:r>
        <w:rPr>
          <w:rFonts w:hint="eastAsia" w:eastAsia="宋体"/>
          <w:b/>
          <w:bCs/>
          <w:sz w:val="22"/>
          <w:szCs w:val="22"/>
          <w:vertAlign w:val="baseline"/>
          <w:lang w:val="en-US" w:eastAsia="zh-CN"/>
        </w:rPr>
        <w:t>n legacy RedCap TN discussion, collision cases were already defined and SSB is always prioritized over UL transmission, but the related applicability rules have still been captured.</w:t>
      </w:r>
    </w:p>
    <w:p>
      <w:pPr>
        <w:numPr>
          <w:ilvl w:val="-1"/>
          <w:numId w:val="0"/>
        </w:numPr>
        <w:spacing w:beforeLines="50" w:after="0" w:afterLines="50"/>
        <w:jc w:val="both"/>
        <w:rPr>
          <w:rFonts w:hint="default" w:eastAsia="宋体"/>
          <w:b/>
          <w:bCs/>
          <w:sz w:val="22"/>
          <w:szCs w:val="22"/>
          <w:lang w:val="en-US" w:eastAsia="zh-CN"/>
        </w:rPr>
      </w:pPr>
      <w:r>
        <w:rPr>
          <w:rFonts w:hint="eastAsia" w:eastAsia="宋体"/>
          <w:b/>
          <w:bCs/>
          <w:sz w:val="22"/>
          <w:szCs w:val="22"/>
          <w:lang w:val="en-US" w:eastAsia="zh-CN"/>
        </w:rPr>
        <w:t>Proposal 3: Legacy FR2-NTN handover and conditional handover could be reused, provided that the following applicability rules shall be captured:</w:t>
      </w:r>
    </w:p>
    <w:p>
      <w:pPr>
        <w:numPr>
          <w:ilvl w:val="-1"/>
          <w:numId w:val="0"/>
        </w:numPr>
        <w:spacing w:beforeLines="50" w:after="0" w:afterLines="50"/>
        <w:jc w:val="both"/>
        <w:rPr>
          <w:rFonts w:hint="default" w:eastAsia="宋体"/>
          <w:b/>
          <w:bCs/>
          <w:sz w:val="22"/>
          <w:szCs w:val="22"/>
          <w:lang w:val="en-US" w:eastAsia="zh-CN"/>
        </w:rPr>
      </w:pPr>
      <w:r>
        <w:rPr>
          <w:rFonts w:hint="default" w:eastAsia="宋体"/>
          <w:b/>
          <w:bCs/>
          <w:sz w:val="22"/>
          <w:szCs w:val="22"/>
          <w:lang w:val="en-US" w:eastAsia="zh-CN"/>
        </w:rPr>
        <w:t>For RACH-based HO</w:t>
      </w:r>
      <w:r>
        <w:rPr>
          <w:rFonts w:hint="eastAsia" w:eastAsia="宋体"/>
          <w:b/>
          <w:bCs/>
          <w:sz w:val="22"/>
          <w:szCs w:val="22"/>
          <w:lang w:val="en-US" w:eastAsia="zh-CN"/>
        </w:rPr>
        <w:t xml:space="preserve">, </w:t>
      </w:r>
      <w:r>
        <w:rPr>
          <w:rFonts w:hint="default" w:eastAsia="宋体"/>
          <w:b/>
          <w:bCs/>
          <w:sz w:val="22"/>
          <w:szCs w:val="22"/>
          <w:lang w:val="en-US" w:eastAsia="zh-CN"/>
        </w:rPr>
        <w:t>following applicability rules to adapt HD-FDD case should be added:</w:t>
      </w:r>
    </w:p>
    <w:p>
      <w:pPr>
        <w:numPr>
          <w:ilvl w:val="1"/>
          <w:numId w:val="0"/>
        </w:numPr>
        <w:spacing w:beforeLines="50" w:after="0" w:afterLines="50"/>
        <w:ind w:leftChars="100"/>
        <w:jc w:val="both"/>
        <w:rPr>
          <w:rFonts w:hint="default" w:eastAsia="宋体"/>
          <w:b/>
          <w:bCs/>
          <w:sz w:val="22"/>
          <w:szCs w:val="22"/>
          <w:lang w:val="en-US" w:eastAsia="zh-CN"/>
        </w:rPr>
      </w:pPr>
      <w:r>
        <w:rPr>
          <w:rFonts w:hint="default" w:eastAsia="宋体"/>
          <w:b/>
          <w:bCs/>
          <w:sz w:val="22"/>
          <w:szCs w:val="22"/>
          <w:lang w:val="en-US" w:eastAsia="zh-CN"/>
        </w:rPr>
        <w:t>-SSB is available at the UE once every SMTC period during Tsearch</w:t>
      </w:r>
    </w:p>
    <w:p>
      <w:pPr>
        <w:numPr>
          <w:ilvl w:val="1"/>
          <w:numId w:val="0"/>
        </w:numPr>
        <w:spacing w:beforeLines="50" w:after="0" w:afterLines="50"/>
        <w:ind w:leftChars="100"/>
        <w:jc w:val="both"/>
        <w:rPr>
          <w:rFonts w:hint="default" w:eastAsia="宋体"/>
          <w:b/>
          <w:bCs/>
          <w:sz w:val="22"/>
          <w:szCs w:val="22"/>
          <w:lang w:val="en-US" w:eastAsia="zh-CN"/>
        </w:rPr>
      </w:pPr>
      <w:r>
        <w:rPr>
          <w:rFonts w:hint="default" w:eastAsia="宋体"/>
          <w:b/>
          <w:bCs/>
          <w:sz w:val="22"/>
          <w:szCs w:val="22"/>
          <w:lang w:val="en-US" w:eastAsia="zh-CN"/>
        </w:rPr>
        <w:t>-One SSB is available during T</w:t>
      </w:r>
      <w:r>
        <w:rPr>
          <w:rFonts w:hint="default" w:eastAsia="宋体"/>
          <w:b/>
          <w:bCs/>
          <w:sz w:val="22"/>
          <w:szCs w:val="22"/>
          <w:vertAlign w:val="subscript"/>
          <w:lang w:val="en-US" w:eastAsia="zh-CN"/>
        </w:rPr>
        <w:t>∆</w:t>
      </w:r>
    </w:p>
    <w:p>
      <w:pPr>
        <w:numPr>
          <w:ilvl w:val="1"/>
          <w:numId w:val="0"/>
        </w:numPr>
        <w:spacing w:beforeLines="50" w:after="0" w:afterLines="50"/>
        <w:ind w:leftChars="100"/>
        <w:jc w:val="both"/>
        <w:rPr>
          <w:rFonts w:hint="default" w:eastAsia="宋体"/>
          <w:b/>
          <w:bCs/>
          <w:sz w:val="22"/>
          <w:szCs w:val="22"/>
          <w:lang w:val="en-US" w:eastAsia="zh-CN"/>
        </w:rPr>
      </w:pPr>
      <w:r>
        <w:rPr>
          <w:rFonts w:hint="default" w:eastAsia="宋体"/>
          <w:b/>
          <w:bCs/>
          <w:sz w:val="22"/>
          <w:szCs w:val="22"/>
          <w:lang w:val="en-US" w:eastAsia="zh-CN"/>
        </w:rPr>
        <w:t>-One SSB is available during T</w:t>
      </w:r>
      <w:r>
        <w:rPr>
          <w:rFonts w:hint="default" w:eastAsia="宋体"/>
          <w:b/>
          <w:bCs/>
          <w:sz w:val="22"/>
          <w:szCs w:val="22"/>
          <w:vertAlign w:val="subscript"/>
          <w:lang w:val="en-US" w:eastAsia="zh-CN"/>
        </w:rPr>
        <w:t>IU</w:t>
      </w:r>
    </w:p>
    <w:p>
      <w:pPr>
        <w:numPr>
          <w:ilvl w:val="-1"/>
          <w:numId w:val="0"/>
        </w:numPr>
        <w:spacing w:beforeLines="50" w:after="0" w:afterLines="50"/>
        <w:jc w:val="both"/>
        <w:rPr>
          <w:rFonts w:hint="default" w:eastAsia="宋体"/>
          <w:b/>
          <w:bCs/>
          <w:sz w:val="22"/>
          <w:szCs w:val="22"/>
          <w:lang w:val="en-US" w:eastAsia="zh-CN"/>
        </w:rPr>
      </w:pPr>
      <w:r>
        <w:rPr>
          <w:rFonts w:hint="default" w:eastAsia="宋体"/>
          <w:b/>
          <w:bCs/>
          <w:sz w:val="22"/>
          <w:szCs w:val="22"/>
          <w:lang w:val="en-US" w:eastAsia="zh-CN"/>
        </w:rPr>
        <w:t>For Time/location-based CHO with L3 measurement, following applicability rules to adapt HD-FDD case should be added:</w:t>
      </w:r>
    </w:p>
    <w:p>
      <w:pPr>
        <w:numPr>
          <w:ilvl w:val="1"/>
          <w:numId w:val="0"/>
        </w:numPr>
        <w:spacing w:beforeLines="50" w:after="0" w:afterLines="50"/>
        <w:ind w:leftChars="100"/>
        <w:jc w:val="both"/>
        <w:rPr>
          <w:rFonts w:hint="default" w:eastAsia="宋体"/>
          <w:b/>
          <w:bCs/>
          <w:sz w:val="22"/>
          <w:szCs w:val="22"/>
          <w:lang w:val="en-US" w:eastAsia="zh-CN"/>
        </w:rPr>
      </w:pPr>
      <w:r>
        <w:rPr>
          <w:rFonts w:hint="default" w:eastAsia="宋体"/>
          <w:b/>
          <w:bCs/>
          <w:sz w:val="22"/>
          <w:szCs w:val="22"/>
          <w:lang w:val="en-US" w:eastAsia="zh-CN"/>
        </w:rPr>
        <w:t>-One SSB is available during T</w:t>
      </w:r>
      <w:r>
        <w:rPr>
          <w:rFonts w:hint="default" w:eastAsia="宋体"/>
          <w:b/>
          <w:bCs/>
          <w:sz w:val="22"/>
          <w:szCs w:val="22"/>
          <w:vertAlign w:val="subscript"/>
          <w:lang w:val="en-US" w:eastAsia="zh-CN"/>
        </w:rPr>
        <w:t>∆</w:t>
      </w:r>
    </w:p>
    <w:p>
      <w:pPr>
        <w:numPr>
          <w:ilvl w:val="1"/>
          <w:numId w:val="0"/>
        </w:numPr>
        <w:spacing w:beforeLines="50" w:after="0" w:afterLines="50"/>
        <w:ind w:leftChars="100"/>
        <w:jc w:val="both"/>
        <w:rPr>
          <w:rFonts w:hint="eastAsia" w:eastAsia="宋体"/>
          <w:sz w:val="22"/>
          <w:szCs w:val="22"/>
          <w:lang w:val="en-US" w:eastAsia="zh-CN"/>
        </w:rPr>
      </w:pPr>
      <w:r>
        <w:rPr>
          <w:rFonts w:hint="eastAsia" w:eastAsia="宋体"/>
          <w:b/>
          <w:bCs/>
          <w:sz w:val="22"/>
          <w:szCs w:val="22"/>
          <w:lang w:val="en-US" w:eastAsia="zh-CN"/>
        </w:rPr>
        <w:t>-</w:t>
      </w:r>
      <w:r>
        <w:rPr>
          <w:rFonts w:hint="default" w:eastAsia="宋体"/>
          <w:b/>
          <w:bCs/>
          <w:sz w:val="22"/>
          <w:szCs w:val="22"/>
          <w:lang w:val="en-US" w:eastAsia="zh-CN"/>
        </w:rPr>
        <w:t>One SSB is available during T</w:t>
      </w:r>
      <w:r>
        <w:rPr>
          <w:rFonts w:hint="default" w:eastAsia="宋体"/>
          <w:b/>
          <w:bCs/>
          <w:sz w:val="22"/>
          <w:szCs w:val="22"/>
          <w:vertAlign w:val="subscript"/>
          <w:lang w:val="en-US" w:eastAsia="zh-CN"/>
        </w:rPr>
        <w:t>IU</w:t>
      </w:r>
    </w:p>
    <w:p>
      <w:pPr>
        <w:pStyle w:val="4"/>
        <w:jc w:val="both"/>
        <w:rPr>
          <w:rFonts w:hint="default"/>
          <w:sz w:val="22"/>
          <w:szCs w:val="16"/>
          <w:lang w:val="en-US" w:eastAsia="zh-CN"/>
        </w:rPr>
      </w:pPr>
      <w:r>
        <w:rPr>
          <w:rFonts w:hint="eastAsia"/>
          <w:sz w:val="22"/>
          <w:szCs w:val="16"/>
          <w:lang w:val="en-US" w:eastAsia="zh-CN"/>
        </w:rPr>
        <w:t xml:space="preserve">2.2.3 RRC Connection Release with redirection </w:t>
      </w:r>
    </w:p>
    <w:p>
      <w:pPr>
        <w:numPr>
          <w:ilvl w:val="-1"/>
          <w:numId w:val="0"/>
        </w:numPr>
        <w:spacing w:beforeLines="50" w:after="0" w:afterLines="50"/>
        <w:ind w:left="0" w:firstLine="0"/>
        <w:jc w:val="both"/>
        <w:rPr>
          <w:rFonts w:hint="default" w:eastAsia="宋体"/>
          <w:sz w:val="22"/>
          <w:szCs w:val="22"/>
          <w:vertAlign w:val="baseline"/>
          <w:lang w:val="en-US" w:eastAsia="zh-CN"/>
        </w:rPr>
      </w:pPr>
      <w:r>
        <w:rPr>
          <w:rFonts w:hint="eastAsia" w:eastAsia="宋体"/>
          <w:sz w:val="22"/>
          <w:szCs w:val="22"/>
          <w:lang w:val="en-US" w:eastAsia="zh-CN"/>
        </w:rPr>
        <w:t>During legacy RedCap NTN discussion, the following conditions were agreed upon:</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1"/>
                <w:numId w:val="0"/>
              </w:numPr>
              <w:suppressLineNumbers w:val="0"/>
              <w:overflowPunct w:val="0"/>
              <w:autoSpaceDE w:val="0"/>
              <w:autoSpaceDN w:val="0"/>
              <w:adjustRightInd w:val="0"/>
              <w:spacing w:before="0" w:beforeLines="-2147483648" w:beforeAutospacing="0" w:after="180" w:afterLines="-2147483648" w:afterAutospacing="0"/>
              <w:ind w:left="0" w:right="0"/>
              <w:jc w:val="left"/>
              <w:rPr>
                <w:rFonts w:hint="default" w:eastAsia="宋体"/>
                <w:sz w:val="22"/>
                <w:szCs w:val="22"/>
                <w:vertAlign w:val="baseline"/>
                <w:lang w:val="en-US" w:eastAsia="zh-CN"/>
              </w:rPr>
            </w:pPr>
            <w:r>
              <w:rPr>
                <w:rFonts w:hint="default" w:ascii="Times New Roman" w:hAnsi="Times New Roman" w:eastAsia="Times New Roman" w:cs="Times New Roman"/>
                <w:kern w:val="0"/>
                <w:sz w:val="20"/>
                <w:szCs w:val="20"/>
                <w:lang w:val="en-US" w:eastAsia="zh-CN" w:bidi="ar"/>
              </w:rPr>
              <w:t>The HD-FDD UE shall meet the RRC connection release with redirection requirements provided that SSB is available at the UE once every SMTC period during T</w:t>
            </w:r>
            <w:r>
              <w:rPr>
                <w:rFonts w:hint="default" w:ascii="Times New Roman" w:hAnsi="Times New Roman" w:eastAsia="Times New Roman" w:cs="Times New Roman"/>
                <w:kern w:val="0"/>
                <w:sz w:val="20"/>
                <w:szCs w:val="20"/>
                <w:vertAlign w:val="subscript"/>
                <w:lang w:val="en-US" w:eastAsia="zh-CN" w:bidi="ar"/>
              </w:rPr>
              <w:t>search</w:t>
            </w:r>
            <w:r>
              <w:rPr>
                <w:rFonts w:hint="default" w:ascii="Times New Roman" w:hAnsi="Times New Roman" w:eastAsia="Times New Roman" w:cs="Times New Roman"/>
                <w:kern w:val="0"/>
                <w:sz w:val="20"/>
                <w:szCs w:val="20"/>
                <w:lang w:val="en-US" w:eastAsia="zh-CN" w:bidi="ar"/>
              </w:rPr>
              <w:t>.</w:t>
            </w:r>
          </w:p>
        </w:tc>
      </w:tr>
    </w:tbl>
    <w:p>
      <w:pPr>
        <w:numPr>
          <w:ilvl w:val="-1"/>
          <w:numId w:val="0"/>
        </w:numPr>
        <w:spacing w:beforeLines="50" w:after="0" w:afterLines="50"/>
        <w:ind w:left="0" w:firstLine="0"/>
        <w:jc w:val="both"/>
        <w:rPr>
          <w:rFonts w:hint="eastAsia" w:eastAsia="宋体"/>
          <w:sz w:val="22"/>
          <w:szCs w:val="22"/>
          <w:lang w:val="en-US" w:eastAsia="zh-CN"/>
        </w:rPr>
      </w:pPr>
      <w:r>
        <w:rPr>
          <w:rFonts w:hint="eastAsia" w:eastAsia="宋体"/>
          <w:sz w:val="22"/>
          <w:szCs w:val="22"/>
          <w:lang w:val="en-US" w:eastAsia="zh-CN"/>
        </w:rPr>
        <w:t>Consequently, the above applicability rule can be directly reused for HD-FDD VSAT UE.</w:t>
      </w:r>
    </w:p>
    <w:p>
      <w:pPr>
        <w:numPr>
          <w:ilvl w:val="-1"/>
          <w:numId w:val="0"/>
        </w:numPr>
        <w:spacing w:beforeLines="50" w:after="0" w:afterLines="50"/>
        <w:ind w:left="0" w:firstLine="0"/>
        <w:jc w:val="both"/>
        <w:rPr>
          <w:rFonts w:hint="default" w:eastAsia="宋体"/>
          <w:sz w:val="22"/>
          <w:szCs w:val="22"/>
          <w:lang w:val="en-US" w:eastAsia="zh-CN"/>
        </w:rPr>
      </w:pPr>
      <w:r>
        <w:rPr>
          <w:rFonts w:hint="eastAsia" w:eastAsia="宋体"/>
          <w:sz w:val="22"/>
          <w:szCs w:val="22"/>
          <w:lang w:val="en-US" w:eastAsia="zh-CN"/>
        </w:rPr>
        <w:t>However, it is important to note that the legacy requirements primarily target FR1 UEs (e.g. handheld UEs) equipped with omnidirectional antennas, which do not require additional time for steering the downlink spatial reception filter to the target cell. In contrast, the HD-FDD VSAT UE employ the directional antennas, and thus the additional beam steering time shall be taken into account.</w:t>
      </w:r>
    </w:p>
    <w:p>
      <w:pPr>
        <w:numPr>
          <w:ilvl w:val="-1"/>
          <w:numId w:val="0"/>
        </w:numPr>
        <w:spacing w:beforeLines="50" w:after="0" w:afterLines="50"/>
        <w:ind w:left="0" w:firstLine="0"/>
        <w:jc w:val="both"/>
        <w:rPr>
          <w:rFonts w:hint="eastAsia" w:eastAsia="宋体"/>
          <w:sz w:val="22"/>
          <w:szCs w:val="22"/>
          <w:lang w:val="en-US" w:eastAsia="zh-CN"/>
        </w:rPr>
      </w:pPr>
      <w:r>
        <w:rPr>
          <w:rFonts w:hint="eastAsia" w:eastAsia="宋体"/>
          <w:sz w:val="22"/>
          <w:szCs w:val="22"/>
          <w:lang w:val="en-US" w:eastAsia="zh-CN"/>
        </w:rPr>
        <w:t>The reason to update the requirements is that HD-FDD VSAT UEs using FR1 numerology should align with FR2-NTN requirements-rather than FR1-NTN-based on the following agreement:</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1"/>
                <w:numId w:val="0"/>
              </w:numPr>
              <w:suppressLineNumbers w:val="0"/>
              <w:overflowPunct w:val="0"/>
              <w:autoSpaceDE w:val="0"/>
              <w:autoSpaceDN w:val="0"/>
              <w:adjustRightInd w:val="0"/>
              <w:snapToGrid w:val="0"/>
              <w:spacing w:before="0" w:beforeAutospacing="0" w:after="120" w:afterAutospacing="0"/>
              <w:ind w:left="0" w:right="0" w:firstLine="0"/>
              <w:textAlignment w:val="baseline"/>
              <w:rPr>
                <w:rFonts w:hint="default"/>
                <w:color w:val="000000"/>
                <w:sz w:val="20"/>
                <w:szCs w:val="21"/>
                <w:u w:val="single"/>
              </w:rPr>
            </w:pPr>
            <w:r>
              <w:rPr>
                <w:rFonts w:hint="eastAsia"/>
                <w:color w:val="000000"/>
                <w:sz w:val="20"/>
                <w:szCs w:val="21"/>
                <w:u w:val="single"/>
              </w:rPr>
              <w:t>A</w:t>
            </w:r>
            <w:r>
              <w:rPr>
                <w:rFonts w:hint="default"/>
                <w:color w:val="000000"/>
                <w:sz w:val="20"/>
                <w:szCs w:val="21"/>
                <w:u w:val="single"/>
              </w:rPr>
              <w:t xml:space="preserve">greement: </w:t>
            </w:r>
          </w:p>
          <w:p>
            <w:pPr>
              <w:keepNext w:val="0"/>
              <w:keepLines w:val="0"/>
              <w:widowControl/>
              <w:numPr>
                <w:ilvl w:val="-1"/>
                <w:numId w:val="0"/>
              </w:numPr>
              <w:suppressLineNumbers w:val="0"/>
              <w:spacing w:before="0" w:beforeLines="50" w:beforeAutospacing="0" w:after="0" w:afterLines="50" w:afterAutospacing="0"/>
              <w:ind w:left="0" w:right="0"/>
              <w:jc w:val="both"/>
              <w:rPr>
                <w:rFonts w:hint="default" w:eastAsia="宋体"/>
                <w:sz w:val="22"/>
                <w:szCs w:val="22"/>
                <w:vertAlign w:val="baseline"/>
                <w:lang w:val="en-US" w:eastAsia="zh-CN"/>
              </w:rPr>
            </w:pPr>
            <w:r>
              <w:rPr>
                <w:rFonts w:hint="default" w:eastAsiaTheme="minorEastAsia"/>
                <w:color w:val="000000"/>
                <w:sz w:val="20"/>
                <w:szCs w:val="21"/>
                <w:lang w:val="en-GB"/>
              </w:rPr>
              <w:t xml:space="preserve">Clarify in clause 3.6.12 that “Unless otherwise stated, the requirements defined for FR2-NTN apply for VSAT working in FR1-NTN”. </w:t>
            </w:r>
          </w:p>
        </w:tc>
      </w:tr>
    </w:tbl>
    <w:p>
      <w:pPr>
        <w:numPr>
          <w:ilvl w:val="-1"/>
          <w:numId w:val="0"/>
        </w:numPr>
        <w:spacing w:beforeLines="50" w:after="0" w:afterLines="50"/>
        <w:ind w:left="0" w:firstLine="0"/>
        <w:jc w:val="both"/>
        <w:rPr>
          <w:rFonts w:hint="eastAsia" w:eastAsia="宋体"/>
          <w:sz w:val="22"/>
          <w:szCs w:val="22"/>
          <w:lang w:val="en-US" w:eastAsia="zh-CN"/>
        </w:rPr>
      </w:pPr>
      <w:r>
        <w:rPr>
          <w:rFonts w:hint="eastAsia" w:eastAsia="宋体"/>
          <w:sz w:val="22"/>
          <w:szCs w:val="22"/>
          <w:lang w:val="en-US" w:eastAsia="zh-CN"/>
        </w:rPr>
        <w:t>Consequently, T</w:t>
      </w:r>
      <w:r>
        <w:rPr>
          <w:rFonts w:hint="eastAsia" w:eastAsia="宋体"/>
          <w:sz w:val="22"/>
          <w:szCs w:val="22"/>
          <w:vertAlign w:val="subscript"/>
          <w:lang w:val="en-US" w:eastAsia="zh-CN"/>
        </w:rPr>
        <w:t>sat_beam</w:t>
      </w:r>
      <w:r>
        <w:rPr>
          <w:rFonts w:hint="eastAsia" w:eastAsia="宋体"/>
          <w:sz w:val="22"/>
          <w:szCs w:val="22"/>
          <w:lang w:val="en-US" w:eastAsia="zh-CN"/>
        </w:rPr>
        <w:t xml:space="preserve"> defined in FR2-NTN handover shall be added and reused. The updated RRC connection release with redirection requirements could be :</w:t>
      </w:r>
    </w:p>
    <w:p>
      <w:pPr>
        <w:pStyle w:val="30"/>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center"/>
        <w:rPr>
          <w:rFonts w:cs="v4.2.0"/>
          <w:vertAlign w:val="subscript"/>
          <w:lang w:val="en-US"/>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connection_release_redirect_NR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RRC_procedure_delay </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b/>
          <w:bCs/>
          <w:sz w:val="22"/>
          <w:szCs w:val="22"/>
          <w:lang w:val="en-US" w:eastAsia="zh-CN"/>
        </w:rPr>
        <w:t>T</w:t>
      </w:r>
      <w:r>
        <w:rPr>
          <w:rFonts w:hint="default" w:ascii="Times New Roman" w:hAnsi="Times New Roman" w:eastAsia="宋体" w:cs="Times New Roman"/>
          <w:b/>
          <w:bCs/>
          <w:sz w:val="22"/>
          <w:szCs w:val="22"/>
          <w:vertAlign w:val="subscript"/>
          <w:lang w:val="en-US" w:eastAsia="zh-CN"/>
        </w:rPr>
        <w:t>sat_beam</w:t>
      </w:r>
      <w:r>
        <w:rPr>
          <w:rFonts w:hint="eastAsia"/>
          <w:sz w:val="22"/>
          <w:szCs w:val="22"/>
          <w:lang w:val="en-US" w:eastAsia="zh-CN"/>
        </w:rPr>
        <w:t>+</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 xml:space="preserve">identify-NR </w:t>
      </w:r>
      <w:r>
        <w:rPr>
          <w:rFonts w:hint="default" w:ascii="Times New Roman" w:hAnsi="Times New Roman" w:eastAsia="Times New Roman" w:cs="v4.2.0"/>
          <w:kern w:val="0"/>
          <w:sz w:val="20"/>
          <w:szCs w:val="20"/>
          <w:lang w:val="en-US" w:eastAsia="zh-CN" w:bidi="ar"/>
        </w:rPr>
        <w:t>+ T</w:t>
      </w:r>
      <w:r>
        <w:rPr>
          <w:rFonts w:hint="default" w:ascii="Times New Roman" w:hAnsi="Times New Roman" w:eastAsia="Times New Roman" w:cs="v4.2.0"/>
          <w:kern w:val="0"/>
          <w:sz w:val="20"/>
          <w:szCs w:val="20"/>
          <w:vertAlign w:val="subscript"/>
          <w:lang w:val="en-US" w:eastAsia="zh-CN" w:bidi="ar"/>
        </w:rPr>
        <w:t xml:space="preserve">SI-NR </w:t>
      </w:r>
      <w:r>
        <w:rPr>
          <w:rFonts w:hint="default" w:ascii="Times New Roman" w:hAnsi="Times New Roman" w:eastAsia="Times New Roman" w:cs="v4.2.0"/>
          <w:kern w:val="0"/>
          <w:sz w:val="20"/>
          <w:szCs w:val="20"/>
          <w:lang w:val="en-US" w:eastAsia="zh-CN" w:bidi="ar"/>
        </w:rPr>
        <w:t>+ T</w:t>
      </w:r>
      <w:r>
        <w:rPr>
          <w:rFonts w:hint="default" w:ascii="Times New Roman" w:hAnsi="Times New Roman" w:eastAsia="Times New Roman" w:cs="v4.2.0"/>
          <w:kern w:val="0"/>
          <w:sz w:val="20"/>
          <w:szCs w:val="20"/>
          <w:vertAlign w:val="subscript"/>
          <w:lang w:val="en-US" w:eastAsia="zh-CN" w:bidi="ar"/>
        </w:rPr>
        <w:t>RACH</w:t>
      </w:r>
    </w:p>
    <w:p>
      <w:pPr>
        <w:numPr>
          <w:ilvl w:val="-1"/>
          <w:numId w:val="0"/>
        </w:numPr>
        <w:spacing w:beforeLines="50" w:after="0" w:afterLines="50"/>
        <w:ind w:left="0" w:firstLine="0"/>
        <w:jc w:val="both"/>
        <w:rPr>
          <w:rFonts w:hint="eastAsia" w:eastAsia="宋体"/>
          <w:sz w:val="22"/>
          <w:szCs w:val="22"/>
          <w:lang w:val="en-US" w:eastAsia="zh-CN"/>
        </w:rPr>
      </w:pPr>
      <w:r>
        <w:rPr>
          <w:rFonts w:hint="eastAsia" w:eastAsia="宋体"/>
          <w:sz w:val="22"/>
          <w:szCs w:val="22"/>
          <w:lang w:val="en-US" w:eastAsia="zh-CN"/>
        </w:rPr>
        <w:t>where,</w:t>
      </w:r>
    </w:p>
    <w:p>
      <w:pPr>
        <w:pStyle w:val="30"/>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UE indicating ‘</w:t>
      </w:r>
      <w:r>
        <w:rPr>
          <w:rFonts w:hint="default" w:ascii="Times New Roman" w:hAnsi="Times New Roman" w:eastAsia="Times New Roman" w:cs="Times New Roman"/>
          <w:i/>
          <w:iCs/>
          <w:kern w:val="0"/>
          <w:sz w:val="20"/>
          <w:szCs w:val="20"/>
          <w:lang w:val="en-US" w:eastAsia="zh-CN" w:bidi="ar"/>
        </w:rPr>
        <w:t>electronic’</w:t>
      </w:r>
      <w:r>
        <w:rPr>
          <w:rFonts w:hint="default" w:ascii="Times New Roman" w:hAnsi="Times New Roman" w:eastAsia="Times New Roman" w:cs="Times New Roman"/>
          <w:kern w:val="0"/>
          <w:sz w:val="20"/>
          <w:szCs w:val="20"/>
          <w:lang w:val="en-US" w:eastAsia="zh-CN" w:bidi="ar"/>
        </w:rPr>
        <w:t xml:space="preserve"> via UE capability </w:t>
      </w:r>
      <w:r>
        <w:rPr>
          <w:rFonts w:hint="default" w:ascii="Times New Roman" w:hAnsi="Times New Roman" w:eastAsia="Times New Roman" w:cs="Times New Roman"/>
          <w:i/>
          <w:iCs/>
          <w:kern w:val="0"/>
          <w:sz w:val="20"/>
          <w:szCs w:val="20"/>
          <w:lang w:val="en-US" w:eastAsia="zh-CN" w:bidi="ar"/>
        </w:rPr>
        <w:t>ntn-VSAT-AntennaType-r18</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 xml:space="preserve">sat_beam </w:t>
      </w:r>
      <w:r>
        <w:rPr>
          <w:rFonts w:hint="default" w:ascii="Times New Roman" w:hAnsi="Times New Roman" w:eastAsia="Times New Roman" w:cs="Times New Roman"/>
          <w:kern w:val="0"/>
          <w:sz w:val="20"/>
          <w:szCs w:val="20"/>
          <w:lang w:val="en-US" w:eastAsia="zh-CN" w:bidi="ar"/>
        </w:rPr>
        <w:t>is 3*T</w:t>
      </w:r>
      <w:r>
        <w:rPr>
          <w:rFonts w:hint="default" w:ascii="Times New Roman" w:hAnsi="Times New Roman" w:eastAsia="Times New Roman" w:cs="Times New Roman"/>
          <w:kern w:val="0"/>
          <w:sz w:val="20"/>
          <w:szCs w:val="20"/>
          <w:vertAlign w:val="subscript"/>
          <w:lang w:val="en-US" w:eastAsia="zh-CN" w:bidi="ar"/>
        </w:rPr>
        <w:t>rs</w:t>
      </w:r>
    </w:p>
    <w:p>
      <w:pPr>
        <w:numPr>
          <w:ilvl w:val="-1"/>
          <w:numId w:val="0"/>
        </w:numPr>
        <w:spacing w:beforeLines="50" w:after="0" w:afterLines="50"/>
        <w:ind w:left="0" w:firstLine="0"/>
        <w:jc w:val="both"/>
        <w:rPr>
          <w:rFonts w:hint="default" w:eastAsia="宋体"/>
          <w:sz w:val="22"/>
          <w:szCs w:val="22"/>
          <w:lang w:val="en-US" w:eastAsia="zh-CN"/>
        </w:rPr>
      </w:pPr>
      <w:r>
        <w:rPr>
          <w:rFonts w:hint="eastAsia" w:eastAsia="宋体"/>
          <w:sz w:val="22"/>
          <w:szCs w:val="22"/>
          <w:lang w:val="en-US" w:eastAsia="zh-CN"/>
        </w:rPr>
        <w:t>Given that only the electronic steering mechanism is agreed for study in HD-FDD VSAT UEs, the T</w:t>
      </w:r>
      <w:r>
        <w:rPr>
          <w:rFonts w:hint="eastAsia" w:eastAsia="宋体"/>
          <w:sz w:val="22"/>
          <w:szCs w:val="22"/>
          <w:vertAlign w:val="subscript"/>
          <w:lang w:val="en-US" w:eastAsia="zh-CN"/>
        </w:rPr>
        <w:t>sat_beam</w:t>
      </w:r>
      <w:r>
        <w:rPr>
          <w:rFonts w:hint="eastAsia" w:eastAsia="宋体"/>
          <w:sz w:val="22"/>
          <w:szCs w:val="22"/>
          <w:lang w:val="en-US" w:eastAsia="zh-CN"/>
        </w:rPr>
        <w:t xml:space="preserve"> parameter is defined without considering mechanical steering. Therefore, the HD-FDD VSAT UEs shall meet the updated requirements while continuing to apply the legacy applicability rule.</w:t>
      </w:r>
    </w:p>
    <w:p>
      <w:pPr>
        <w:numPr>
          <w:ilvl w:val="-1"/>
          <w:numId w:val="0"/>
        </w:numPr>
        <w:spacing w:beforeLines="50" w:after="0" w:afterLines="50"/>
        <w:ind w:left="0" w:firstLine="0"/>
        <w:jc w:val="both"/>
        <w:rPr>
          <w:rFonts w:hint="default" w:eastAsia="宋体"/>
          <w:b/>
          <w:bCs/>
          <w:sz w:val="22"/>
          <w:szCs w:val="22"/>
          <w:lang w:val="en-US" w:eastAsia="zh-CN"/>
        </w:rPr>
      </w:pPr>
      <w:r>
        <w:rPr>
          <w:rFonts w:hint="eastAsia" w:eastAsia="宋体"/>
          <w:b/>
          <w:bCs/>
          <w:sz w:val="22"/>
          <w:szCs w:val="22"/>
          <w:lang w:val="en-US" w:eastAsia="zh-CN"/>
        </w:rPr>
        <w:t>Observation 2: The legacy redirection requirements primarily target FR1 UEs (e.g. handheld UEs) equipped with omnidirectional antennas.</w:t>
      </w:r>
    </w:p>
    <w:p>
      <w:pPr>
        <w:numPr>
          <w:ilvl w:val="-1"/>
          <w:numId w:val="0"/>
        </w:numPr>
        <w:spacing w:beforeLines="50" w:after="0" w:afterLines="50"/>
        <w:ind w:left="0" w:firstLine="0"/>
        <w:jc w:val="both"/>
        <w:rPr>
          <w:rFonts w:hint="eastAsia" w:eastAsiaTheme="minorEastAsia"/>
          <w:b/>
          <w:bCs/>
          <w:sz w:val="22"/>
          <w:szCs w:val="22"/>
          <w:lang w:val="en-US" w:eastAsia="zh-CN"/>
        </w:rPr>
      </w:pPr>
      <w:r>
        <w:rPr>
          <w:rFonts w:hint="eastAsia" w:eastAsia="宋体"/>
          <w:b/>
          <w:bCs/>
          <w:sz w:val="22"/>
          <w:szCs w:val="22"/>
          <w:lang w:val="en-US" w:eastAsia="zh-CN"/>
        </w:rPr>
        <w:t xml:space="preserve">Observation 3: </w:t>
      </w:r>
      <w:r>
        <w:rPr>
          <w:rFonts w:hint="default" w:eastAsiaTheme="minorEastAsia"/>
          <w:b/>
          <w:bCs/>
          <w:color w:val="000000"/>
          <w:sz w:val="20"/>
          <w:szCs w:val="21"/>
          <w:lang w:val="en-GB"/>
        </w:rPr>
        <w:t>Unless otherwise stated, the requirements defined for FR2-NTN apply for VSAT working in FR1-NTN</w:t>
      </w:r>
      <w:r>
        <w:rPr>
          <w:rFonts w:hint="eastAsia" w:eastAsiaTheme="minorEastAsia"/>
          <w:b/>
          <w:bCs/>
          <w:color w:val="000000"/>
          <w:sz w:val="20"/>
          <w:szCs w:val="21"/>
          <w:lang w:val="en-US" w:eastAsia="zh-CN"/>
        </w:rPr>
        <w:t>.</w:t>
      </w:r>
    </w:p>
    <w:p>
      <w:pPr>
        <w:numPr>
          <w:ilvl w:val="-1"/>
          <w:numId w:val="0"/>
        </w:numPr>
        <w:spacing w:beforeLines="50" w:after="0" w:afterLines="50"/>
        <w:ind w:left="0" w:firstLine="0"/>
        <w:jc w:val="both"/>
        <w:rPr>
          <w:rFonts w:hint="eastAsia" w:eastAsia="宋体"/>
          <w:b/>
          <w:bCs/>
          <w:sz w:val="22"/>
          <w:szCs w:val="22"/>
          <w:lang w:val="en-US" w:eastAsia="zh-CN"/>
        </w:rPr>
      </w:pPr>
      <w:r>
        <w:rPr>
          <w:rFonts w:hint="eastAsia" w:eastAsia="宋体"/>
          <w:b/>
          <w:bCs/>
          <w:sz w:val="22"/>
          <w:szCs w:val="22"/>
          <w:lang w:val="en-US" w:eastAsia="zh-CN"/>
        </w:rPr>
        <w:t>Proposal 4: Legacy redirection requirements shall be updated for HD-FDD VSAT UEs with adding T</w:t>
      </w:r>
      <w:r>
        <w:rPr>
          <w:rFonts w:hint="eastAsia" w:eastAsia="宋体"/>
          <w:b/>
          <w:bCs/>
          <w:sz w:val="22"/>
          <w:szCs w:val="22"/>
          <w:vertAlign w:val="subscript"/>
          <w:lang w:val="en-US" w:eastAsia="zh-CN"/>
        </w:rPr>
        <w:t>sat_beam</w:t>
      </w:r>
      <w:r>
        <w:rPr>
          <w:rFonts w:hint="eastAsia" w:eastAsia="宋体"/>
          <w:b/>
          <w:bCs/>
          <w:sz w:val="22"/>
          <w:szCs w:val="22"/>
          <w:lang w:val="en-US" w:eastAsia="zh-CN"/>
        </w:rPr>
        <w:t>, as follows:</w:t>
      </w:r>
    </w:p>
    <w:p>
      <w:pPr>
        <w:pStyle w:val="30"/>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center"/>
        <w:rPr>
          <w:rFonts w:cs="v4.2.0"/>
          <w:b/>
          <w:bCs/>
          <w:vertAlign w:val="subscript"/>
          <w:lang w:val="en-US"/>
        </w:rPr>
      </w:pPr>
      <w:r>
        <w:rPr>
          <w:rFonts w:hint="default" w:ascii="Times New Roman" w:hAnsi="Times New Roman" w:eastAsia="Times New Roman" w:cs="Times New Roman"/>
          <w:b/>
          <w:bCs/>
          <w:kern w:val="0"/>
          <w:sz w:val="20"/>
          <w:szCs w:val="20"/>
          <w:lang w:val="en-US" w:eastAsia="zh-CN" w:bidi="ar"/>
        </w:rPr>
        <w:t>T</w:t>
      </w:r>
      <w:r>
        <w:rPr>
          <w:rFonts w:hint="default" w:ascii="Times New Roman" w:hAnsi="Times New Roman" w:eastAsia="Times New Roman" w:cs="Times New Roman"/>
          <w:b/>
          <w:bCs/>
          <w:kern w:val="0"/>
          <w:sz w:val="20"/>
          <w:szCs w:val="20"/>
          <w:vertAlign w:val="subscript"/>
          <w:lang w:val="en-US" w:eastAsia="zh-CN" w:bidi="ar"/>
        </w:rPr>
        <w:t>connection_release_redirect_NR</w:t>
      </w:r>
      <w:r>
        <w:rPr>
          <w:rFonts w:hint="default" w:ascii="Times New Roman" w:hAnsi="Times New Roman" w:eastAsia="Times New Roman" w:cs="Times New Roman"/>
          <w:b/>
          <w:bCs/>
          <w:kern w:val="0"/>
          <w:sz w:val="20"/>
          <w:szCs w:val="20"/>
          <w:lang w:val="en-US" w:eastAsia="zh-CN" w:bidi="ar"/>
        </w:rPr>
        <w:t xml:space="preserve"> = T</w:t>
      </w:r>
      <w:r>
        <w:rPr>
          <w:rFonts w:hint="default" w:ascii="Times New Roman" w:hAnsi="Times New Roman" w:eastAsia="Times New Roman" w:cs="Times New Roman"/>
          <w:b/>
          <w:bCs/>
          <w:kern w:val="0"/>
          <w:sz w:val="20"/>
          <w:szCs w:val="20"/>
          <w:vertAlign w:val="subscript"/>
          <w:lang w:val="en-US" w:eastAsia="zh-CN" w:bidi="ar"/>
        </w:rPr>
        <w:t xml:space="preserve">RRC_procedure_delay </w:t>
      </w:r>
      <w:r>
        <w:rPr>
          <w:rFonts w:hint="default" w:ascii="Times New Roman" w:hAnsi="Times New Roman" w:eastAsia="Times New Roman" w:cs="Times New Roman"/>
          <w:b/>
          <w:bCs/>
          <w:kern w:val="0"/>
          <w:sz w:val="20"/>
          <w:szCs w:val="20"/>
          <w:lang w:val="en-US" w:eastAsia="zh-CN" w:bidi="ar"/>
        </w:rPr>
        <w:t xml:space="preserve">+ </w:t>
      </w:r>
      <w:r>
        <w:rPr>
          <w:rFonts w:hint="default" w:ascii="Times New Roman" w:hAnsi="Times New Roman" w:eastAsia="宋体" w:cs="Times New Roman"/>
          <w:b/>
          <w:bCs/>
          <w:sz w:val="22"/>
          <w:szCs w:val="22"/>
          <w:lang w:val="en-US" w:eastAsia="zh-CN"/>
        </w:rPr>
        <w:t>T</w:t>
      </w:r>
      <w:r>
        <w:rPr>
          <w:rFonts w:hint="default" w:ascii="Times New Roman" w:hAnsi="Times New Roman" w:eastAsia="宋体" w:cs="Times New Roman"/>
          <w:b/>
          <w:bCs/>
          <w:sz w:val="22"/>
          <w:szCs w:val="22"/>
          <w:vertAlign w:val="subscript"/>
          <w:lang w:val="en-US" w:eastAsia="zh-CN"/>
        </w:rPr>
        <w:t>sat_beam</w:t>
      </w:r>
      <w:r>
        <w:rPr>
          <w:rFonts w:hint="eastAsia"/>
          <w:b/>
          <w:bCs/>
          <w:sz w:val="22"/>
          <w:szCs w:val="22"/>
          <w:lang w:val="en-US" w:eastAsia="zh-CN"/>
        </w:rPr>
        <w:t>+</w:t>
      </w:r>
      <w:r>
        <w:rPr>
          <w:rFonts w:hint="default" w:ascii="Times New Roman" w:hAnsi="Times New Roman" w:eastAsia="Times New Roman" w:cs="v4.2.0"/>
          <w:b/>
          <w:bCs/>
          <w:kern w:val="0"/>
          <w:sz w:val="20"/>
          <w:szCs w:val="20"/>
          <w:lang w:val="en-US" w:eastAsia="zh-CN" w:bidi="ar"/>
        </w:rPr>
        <w:t>T</w:t>
      </w:r>
      <w:r>
        <w:rPr>
          <w:rFonts w:hint="default" w:ascii="Times New Roman" w:hAnsi="Times New Roman" w:eastAsia="Times New Roman" w:cs="v4.2.0"/>
          <w:b/>
          <w:bCs/>
          <w:kern w:val="0"/>
          <w:sz w:val="20"/>
          <w:szCs w:val="20"/>
          <w:vertAlign w:val="subscript"/>
          <w:lang w:val="en-US" w:eastAsia="zh-CN" w:bidi="ar"/>
        </w:rPr>
        <w:t xml:space="preserve">identify-NR </w:t>
      </w:r>
      <w:r>
        <w:rPr>
          <w:rFonts w:hint="default" w:ascii="Times New Roman" w:hAnsi="Times New Roman" w:eastAsia="Times New Roman" w:cs="v4.2.0"/>
          <w:b/>
          <w:bCs/>
          <w:kern w:val="0"/>
          <w:sz w:val="20"/>
          <w:szCs w:val="20"/>
          <w:lang w:val="en-US" w:eastAsia="zh-CN" w:bidi="ar"/>
        </w:rPr>
        <w:t>+ T</w:t>
      </w:r>
      <w:r>
        <w:rPr>
          <w:rFonts w:hint="default" w:ascii="Times New Roman" w:hAnsi="Times New Roman" w:eastAsia="Times New Roman" w:cs="v4.2.0"/>
          <w:b/>
          <w:bCs/>
          <w:kern w:val="0"/>
          <w:sz w:val="20"/>
          <w:szCs w:val="20"/>
          <w:vertAlign w:val="subscript"/>
          <w:lang w:val="en-US" w:eastAsia="zh-CN" w:bidi="ar"/>
        </w:rPr>
        <w:t xml:space="preserve">SI-NR </w:t>
      </w:r>
      <w:r>
        <w:rPr>
          <w:rFonts w:hint="default" w:ascii="Times New Roman" w:hAnsi="Times New Roman" w:eastAsia="Times New Roman" w:cs="v4.2.0"/>
          <w:b/>
          <w:bCs/>
          <w:kern w:val="0"/>
          <w:sz w:val="20"/>
          <w:szCs w:val="20"/>
          <w:lang w:val="en-US" w:eastAsia="zh-CN" w:bidi="ar"/>
        </w:rPr>
        <w:t>+ T</w:t>
      </w:r>
      <w:r>
        <w:rPr>
          <w:rFonts w:hint="default" w:ascii="Times New Roman" w:hAnsi="Times New Roman" w:eastAsia="Times New Roman" w:cs="v4.2.0"/>
          <w:b/>
          <w:bCs/>
          <w:kern w:val="0"/>
          <w:sz w:val="20"/>
          <w:szCs w:val="20"/>
          <w:vertAlign w:val="subscript"/>
          <w:lang w:val="en-US" w:eastAsia="zh-CN" w:bidi="ar"/>
        </w:rPr>
        <w:t>RACH</w:t>
      </w:r>
    </w:p>
    <w:p>
      <w:pPr>
        <w:numPr>
          <w:ilvl w:val="-1"/>
          <w:numId w:val="0"/>
        </w:numPr>
        <w:spacing w:beforeLines="50" w:after="0" w:afterLines="50"/>
        <w:ind w:left="0" w:firstLine="0"/>
        <w:jc w:val="both"/>
        <w:rPr>
          <w:rFonts w:hint="eastAsia" w:eastAsia="宋体"/>
          <w:b/>
          <w:bCs/>
          <w:sz w:val="22"/>
          <w:szCs w:val="22"/>
          <w:lang w:val="en-US" w:eastAsia="zh-CN"/>
        </w:rPr>
      </w:pPr>
      <w:r>
        <w:rPr>
          <w:rFonts w:hint="eastAsia" w:eastAsia="宋体"/>
          <w:b/>
          <w:bCs/>
          <w:sz w:val="22"/>
          <w:szCs w:val="22"/>
          <w:lang w:val="en-US" w:eastAsia="zh-CN"/>
        </w:rPr>
        <w:t>where,</w:t>
      </w:r>
    </w:p>
    <w:p>
      <w:pPr>
        <w:pStyle w:val="30"/>
        <w:overflowPunct w:val="0"/>
        <w:autoSpaceDE w:val="0"/>
        <w:autoSpaceDN w:val="0"/>
        <w:adjustRightInd w:val="0"/>
        <w:spacing w:after="180"/>
        <w:ind w:left="851" w:hanging="284"/>
        <w:jc w:val="left"/>
        <w:rPr>
          <w:rFonts w:hint="default" w:eastAsia="宋体"/>
          <w:sz w:val="22"/>
          <w:szCs w:val="22"/>
          <w:lang w:val="en-US" w:eastAsia="zh-CN"/>
        </w:rPr>
      </w:pPr>
      <w:r>
        <w:rPr>
          <w:rFonts w:hint="default" w:ascii="Times New Roman" w:hAnsi="Times New Roman" w:eastAsia="Times New Roman" w:cs="Times New Roman"/>
          <w:b/>
          <w:bCs/>
          <w:kern w:val="0"/>
          <w:sz w:val="20"/>
          <w:szCs w:val="20"/>
          <w:lang w:val="en-US" w:eastAsia="zh-CN" w:bidi="ar"/>
        </w:rPr>
        <w:t>-</w:t>
      </w:r>
      <w:r>
        <w:rPr>
          <w:rFonts w:hint="default" w:ascii="Times New Roman" w:hAnsi="Times New Roman" w:eastAsia="Times New Roman" w:cs="Times New Roman"/>
          <w:b/>
          <w:bCs/>
          <w:kern w:val="0"/>
          <w:sz w:val="20"/>
          <w:szCs w:val="20"/>
          <w:lang w:val="en-US" w:eastAsia="zh-CN" w:bidi="ar"/>
        </w:rPr>
        <w:tab/>
      </w:r>
      <w:r>
        <w:rPr>
          <w:rFonts w:hint="default" w:ascii="Times New Roman" w:hAnsi="Times New Roman" w:eastAsia="Times New Roman" w:cs="Times New Roman"/>
          <w:b/>
          <w:bCs/>
          <w:kern w:val="0"/>
          <w:sz w:val="20"/>
          <w:szCs w:val="20"/>
          <w:lang w:val="en-US" w:eastAsia="zh-CN" w:bidi="ar"/>
        </w:rPr>
        <w:t>For UE indicating ‘</w:t>
      </w:r>
      <w:r>
        <w:rPr>
          <w:rFonts w:hint="default" w:ascii="Times New Roman" w:hAnsi="Times New Roman" w:eastAsia="Times New Roman" w:cs="Times New Roman"/>
          <w:b/>
          <w:bCs/>
          <w:i/>
          <w:iCs/>
          <w:kern w:val="0"/>
          <w:sz w:val="20"/>
          <w:szCs w:val="20"/>
          <w:lang w:val="en-US" w:eastAsia="zh-CN" w:bidi="ar"/>
        </w:rPr>
        <w:t>electronic’</w:t>
      </w:r>
      <w:r>
        <w:rPr>
          <w:rFonts w:hint="default" w:ascii="Times New Roman" w:hAnsi="Times New Roman" w:eastAsia="Times New Roman" w:cs="Times New Roman"/>
          <w:b/>
          <w:bCs/>
          <w:kern w:val="0"/>
          <w:sz w:val="20"/>
          <w:szCs w:val="20"/>
          <w:lang w:val="en-US" w:eastAsia="zh-CN" w:bidi="ar"/>
        </w:rPr>
        <w:t xml:space="preserve"> via UE capability </w:t>
      </w:r>
      <w:r>
        <w:rPr>
          <w:rFonts w:hint="default" w:ascii="Times New Roman" w:hAnsi="Times New Roman" w:eastAsia="Times New Roman" w:cs="Times New Roman"/>
          <w:b/>
          <w:bCs/>
          <w:i/>
          <w:iCs/>
          <w:kern w:val="0"/>
          <w:sz w:val="20"/>
          <w:szCs w:val="20"/>
          <w:lang w:val="en-US" w:eastAsia="zh-CN" w:bidi="ar"/>
        </w:rPr>
        <w:t>ntn-VSAT-AntennaType-r18</w:t>
      </w:r>
      <w:r>
        <w:rPr>
          <w:rFonts w:hint="default" w:ascii="Times New Roman" w:hAnsi="Times New Roman" w:eastAsia="Times New Roman" w:cs="Times New Roman"/>
          <w:b/>
          <w:bCs/>
          <w:kern w:val="0"/>
          <w:sz w:val="20"/>
          <w:szCs w:val="20"/>
          <w:lang w:val="en-US" w:eastAsia="zh-CN" w:bidi="ar"/>
        </w:rPr>
        <w:t>, T</w:t>
      </w:r>
      <w:r>
        <w:rPr>
          <w:rFonts w:hint="default" w:ascii="Times New Roman" w:hAnsi="Times New Roman" w:eastAsia="Times New Roman" w:cs="Times New Roman"/>
          <w:b/>
          <w:bCs/>
          <w:kern w:val="0"/>
          <w:sz w:val="20"/>
          <w:szCs w:val="20"/>
          <w:vertAlign w:val="subscript"/>
          <w:lang w:val="en-US" w:eastAsia="zh-CN" w:bidi="ar"/>
        </w:rPr>
        <w:t xml:space="preserve">sat_beam </w:t>
      </w:r>
      <w:r>
        <w:rPr>
          <w:rFonts w:hint="default" w:ascii="Times New Roman" w:hAnsi="Times New Roman" w:eastAsia="Times New Roman" w:cs="Times New Roman"/>
          <w:b/>
          <w:bCs/>
          <w:kern w:val="0"/>
          <w:sz w:val="20"/>
          <w:szCs w:val="20"/>
          <w:lang w:val="en-US" w:eastAsia="zh-CN" w:bidi="ar"/>
        </w:rPr>
        <w:t>is 3*T</w:t>
      </w:r>
      <w:r>
        <w:rPr>
          <w:rFonts w:hint="default" w:ascii="Times New Roman" w:hAnsi="Times New Roman" w:eastAsia="Times New Roman" w:cs="Times New Roman"/>
          <w:b/>
          <w:bCs/>
          <w:kern w:val="0"/>
          <w:sz w:val="20"/>
          <w:szCs w:val="20"/>
          <w:vertAlign w:val="subscript"/>
          <w:lang w:val="en-US" w:eastAsia="zh-CN" w:bidi="ar"/>
        </w:rPr>
        <w:t>rs</w:t>
      </w:r>
    </w:p>
    <w:p>
      <w:pPr>
        <w:numPr>
          <w:ilvl w:val="-1"/>
          <w:numId w:val="0"/>
        </w:numPr>
        <w:spacing w:beforeLines="50" w:after="0" w:afterLines="50"/>
        <w:ind w:left="0" w:firstLine="0"/>
        <w:jc w:val="both"/>
        <w:rPr>
          <w:rFonts w:hint="eastAsia" w:eastAsia="宋体"/>
          <w:b/>
          <w:bCs/>
          <w:sz w:val="22"/>
          <w:szCs w:val="22"/>
          <w:lang w:val="en-US" w:eastAsia="zh-CN"/>
        </w:rPr>
      </w:pPr>
      <w:r>
        <w:rPr>
          <w:rFonts w:hint="eastAsia" w:eastAsia="宋体"/>
          <w:b/>
          <w:bCs/>
          <w:sz w:val="22"/>
          <w:szCs w:val="22"/>
          <w:lang w:val="en-US" w:eastAsia="zh-CN"/>
        </w:rPr>
        <w:t>Proposal 5: The legacy applicability rules shall be reused, as follows:</w:t>
      </w:r>
    </w:p>
    <w:p>
      <w:pPr>
        <w:numPr>
          <w:ilvl w:val="-1"/>
          <w:numId w:val="0"/>
        </w:numPr>
        <w:spacing w:beforeLines="50" w:after="0" w:afterLines="50"/>
        <w:ind w:left="0" w:firstLine="0"/>
        <w:jc w:val="both"/>
        <w:rPr>
          <w:rFonts w:hint="default" w:eastAsia="宋体"/>
          <w:b/>
          <w:bCs/>
          <w:sz w:val="22"/>
          <w:szCs w:val="22"/>
          <w:lang w:val="en-US" w:eastAsia="zh-CN"/>
        </w:rPr>
      </w:pPr>
      <w:r>
        <w:rPr>
          <w:rFonts w:hint="default" w:ascii="Times New Roman" w:hAnsi="Times New Roman" w:eastAsia="Times New Roman" w:cs="Times New Roman"/>
          <w:b/>
          <w:bCs/>
          <w:kern w:val="0"/>
          <w:sz w:val="20"/>
          <w:szCs w:val="20"/>
          <w:lang w:val="en-US" w:eastAsia="zh-CN" w:bidi="ar"/>
        </w:rPr>
        <w:t>The HD-FDD UE shall meet the RRC connection release with redirection requirements provided that SSB is available at the UE once every SMTC period during T</w:t>
      </w:r>
      <w:r>
        <w:rPr>
          <w:rFonts w:hint="default" w:ascii="Times New Roman" w:hAnsi="Times New Roman" w:eastAsia="Times New Roman" w:cs="Times New Roman"/>
          <w:b/>
          <w:bCs/>
          <w:kern w:val="0"/>
          <w:sz w:val="20"/>
          <w:szCs w:val="20"/>
          <w:vertAlign w:val="subscript"/>
          <w:lang w:val="en-US" w:eastAsia="zh-CN" w:bidi="ar"/>
        </w:rPr>
        <w:t>search</w:t>
      </w:r>
      <w:r>
        <w:rPr>
          <w:rFonts w:hint="default" w:ascii="Times New Roman" w:hAnsi="Times New Roman" w:eastAsia="Times New Roman" w:cs="Times New Roman"/>
          <w:b/>
          <w:bCs/>
          <w:kern w:val="0"/>
          <w:sz w:val="20"/>
          <w:szCs w:val="20"/>
          <w:lang w:val="en-US" w:eastAsia="zh-CN" w:bidi="ar"/>
        </w:rPr>
        <w:t>.</w:t>
      </w:r>
    </w:p>
    <w:p>
      <w:pPr>
        <w:pStyle w:val="4"/>
        <w:jc w:val="both"/>
        <w:rPr>
          <w:rFonts w:hint="default"/>
          <w:sz w:val="22"/>
          <w:szCs w:val="16"/>
          <w:lang w:val="en-US" w:eastAsia="zh-CN"/>
        </w:rPr>
      </w:pPr>
      <w:r>
        <w:rPr>
          <w:rFonts w:hint="eastAsia"/>
          <w:sz w:val="22"/>
          <w:szCs w:val="16"/>
          <w:lang w:val="en-US" w:eastAsia="zh-CN"/>
        </w:rPr>
        <w:t xml:space="preserve">2.2.4 Random Access </w:t>
      </w:r>
    </w:p>
    <w:p>
      <w:pPr>
        <w:numPr>
          <w:ilvl w:val="-1"/>
          <w:numId w:val="0"/>
        </w:numPr>
        <w:spacing w:beforeLines="50" w:after="0" w:afterLines="50"/>
        <w:ind w:left="0" w:firstLine="0"/>
        <w:jc w:val="both"/>
        <w:rPr>
          <w:rFonts w:hint="eastAsia" w:eastAsia="宋体"/>
          <w:sz w:val="22"/>
          <w:szCs w:val="22"/>
          <w:lang w:val="en-US" w:eastAsia="zh-CN"/>
        </w:rPr>
      </w:pPr>
      <w:r>
        <w:rPr>
          <w:rFonts w:hint="eastAsia" w:eastAsia="宋体"/>
          <w:sz w:val="22"/>
          <w:szCs w:val="22"/>
          <w:lang w:val="en-US" w:eastAsia="zh-CN"/>
        </w:rPr>
        <w:t>For HD-FDD VSAT UE, it is proposed that both the legacy random access applicability rules and the existing random access requirements for NTN scenario shall be maintained, with the following preconditions:</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0"/>
              <w:keepNext w:val="0"/>
              <w:keepLines w:val="0"/>
              <w:widowControl/>
              <w:numPr>
                <w:ilvl w:val="-1"/>
                <w:numId w:val="0"/>
              </w:numPr>
              <w:suppressLineNumbers w:val="0"/>
              <w:ind w:left="100" w:firstLine="0"/>
              <w:rPr>
                <w:rFonts w:hint="default"/>
                <w:lang w:val="en-US"/>
              </w:rPr>
            </w:pPr>
            <w:r>
              <w:rPr>
                <w:rFonts w:hint="default" w:ascii="Times New Roman" w:hAnsi="Times New Roman" w:eastAsia="Times New Roman" w:cs="Times New Roman"/>
                <w:kern w:val="0"/>
                <w:sz w:val="20"/>
                <w:szCs w:val="20"/>
                <w:lang w:val="en-US" w:eastAsia="zh-CN" w:bidi="ar"/>
              </w:rPr>
              <w:t>HD-FDD UE with the following conditions:</w:t>
            </w:r>
          </w:p>
          <w:p>
            <w:pPr>
              <w:pStyle w:val="30"/>
              <w:keepNext w:val="0"/>
              <w:keepLines w:val="0"/>
              <w:widowControl/>
              <w:numPr>
                <w:ilvl w:val="0"/>
                <w:numId w:val="9"/>
              </w:numPr>
              <w:suppressLineNumbers w:val="0"/>
              <w:overflowPunct w:val="0"/>
              <w:autoSpaceDE w:val="0"/>
              <w:autoSpaceDN w:val="0"/>
              <w:adjustRightInd w:val="0"/>
              <w:spacing w:before="0" w:beforeAutospacing="0" w:after="180" w:afterAutospacing="0"/>
              <w:ind w:left="460" w:right="0" w:hanging="360"/>
              <w:jc w:val="left"/>
              <w:rPr>
                <w:rFonts w:hint="default"/>
                <w:lang w:val="en-US" w:eastAsia="zh-CN"/>
              </w:rPr>
            </w:pPr>
            <w:r>
              <w:rPr>
                <w:rFonts w:hint="default" w:ascii="Times New Roman" w:hAnsi="Times New Roman" w:eastAsia="Times New Roman" w:cs="Times New Roman"/>
                <w:kern w:val="0"/>
                <w:sz w:val="20"/>
                <w:szCs w:val="20"/>
                <w:lang w:val="en-US" w:eastAsia="zh-CN" w:bidi="ar"/>
              </w:rPr>
              <w:t>The RedCap UE operating in HD-FDD mode is not expected to perform PRACH transmission on a PRACH resource of a cell if UE has not received at least one SSB associated with that PRACH resource during the last Tp period in the cell, where Tp=160 ms.</w:t>
            </w:r>
          </w:p>
          <w:p>
            <w:pPr>
              <w:pStyle w:val="30"/>
              <w:keepNext w:val="0"/>
              <w:keepLines w:val="0"/>
              <w:widowControl/>
              <w:numPr>
                <w:ilvl w:val="0"/>
                <w:numId w:val="9"/>
              </w:numPr>
              <w:suppressLineNumbers w:val="0"/>
              <w:overflowPunct w:val="0"/>
              <w:autoSpaceDE w:val="0"/>
              <w:autoSpaceDN w:val="0"/>
              <w:adjustRightInd w:val="0"/>
              <w:spacing w:after="180"/>
              <w:ind w:left="460" w:hanging="360"/>
              <w:jc w:val="left"/>
              <w:rPr>
                <w:rFonts w:hint="default" w:eastAsia="宋体"/>
                <w:sz w:val="22"/>
                <w:szCs w:val="22"/>
                <w:vertAlign w:val="baseline"/>
                <w:lang w:val="en-US" w:eastAsia="zh-CN"/>
              </w:rPr>
            </w:pPr>
            <w:r>
              <w:rPr>
                <w:rFonts w:hint="default" w:ascii="Times New Roman" w:hAnsi="Times New Roman" w:eastAsia="Times New Roman" w:cs="Times New Roman"/>
                <w:kern w:val="0"/>
                <w:sz w:val="20"/>
                <w:szCs w:val="20"/>
                <w:lang w:val="en-US" w:eastAsia="zh-CN" w:bidi="ar"/>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tc>
      </w:tr>
    </w:tbl>
    <w:p>
      <w:pPr>
        <w:numPr>
          <w:ilvl w:val="-1"/>
          <w:numId w:val="0"/>
        </w:numPr>
        <w:spacing w:beforeLines="50" w:after="0" w:afterLines="50"/>
        <w:ind w:left="0" w:firstLine="0"/>
        <w:jc w:val="both"/>
        <w:rPr>
          <w:rFonts w:hint="default" w:eastAsia="宋体"/>
          <w:b/>
          <w:bCs/>
          <w:sz w:val="22"/>
          <w:szCs w:val="22"/>
          <w:lang w:val="en-US" w:eastAsia="zh-CN"/>
        </w:rPr>
      </w:pPr>
      <w:r>
        <w:rPr>
          <w:rFonts w:hint="eastAsia" w:eastAsia="宋体"/>
          <w:b/>
          <w:bCs/>
          <w:sz w:val="22"/>
          <w:szCs w:val="22"/>
          <w:lang w:val="en-US" w:eastAsia="zh-CN"/>
        </w:rPr>
        <w:t>Proposal 6: The legacy random access requirements and related conditions could be maintained for HD-FDD VSAT UEs.</w:t>
      </w:r>
    </w:p>
    <w:p>
      <w:pPr>
        <w:pStyle w:val="4"/>
        <w:jc w:val="both"/>
        <w:rPr>
          <w:rFonts w:hint="default"/>
          <w:sz w:val="22"/>
          <w:szCs w:val="16"/>
          <w:lang w:val="en-US" w:eastAsia="zh-CN"/>
        </w:rPr>
      </w:pPr>
      <w:r>
        <w:rPr>
          <w:rFonts w:hint="eastAsia"/>
          <w:sz w:val="22"/>
          <w:szCs w:val="16"/>
          <w:lang w:val="en-US" w:eastAsia="zh-CN"/>
        </w:rPr>
        <w:t xml:space="preserve">2.2.5 UL timing accuracy </w:t>
      </w:r>
    </w:p>
    <w:p>
      <w:pPr>
        <w:numPr>
          <w:ilvl w:val="-1"/>
          <w:numId w:val="0"/>
        </w:numPr>
        <w:spacing w:beforeLines="50" w:after="0" w:afterLines="50"/>
        <w:ind w:left="0" w:firstLine="0"/>
        <w:jc w:val="both"/>
        <w:rPr>
          <w:rFonts w:hint="eastAsia" w:eastAsia="宋体"/>
          <w:sz w:val="22"/>
          <w:szCs w:val="22"/>
          <w:lang w:val="en-US" w:eastAsia="zh-CN"/>
        </w:rPr>
      </w:pPr>
      <w:r>
        <w:rPr>
          <w:rFonts w:hint="eastAsia" w:eastAsia="宋体"/>
          <w:sz w:val="22"/>
          <w:szCs w:val="22"/>
          <w:lang w:val="en-US" w:eastAsia="zh-CN"/>
        </w:rPr>
        <w:t>Regarding UL timing accuracy, the existing specification has already stated that the UE shall meet the T</w:t>
      </w:r>
      <w:r>
        <w:rPr>
          <w:rFonts w:hint="eastAsia" w:eastAsia="宋体"/>
          <w:sz w:val="22"/>
          <w:szCs w:val="22"/>
          <w:vertAlign w:val="subscript"/>
          <w:lang w:val="en-US" w:eastAsia="zh-CN"/>
        </w:rPr>
        <w:t>e_NTN</w:t>
      </w:r>
      <w:r>
        <w:rPr>
          <w:rFonts w:hint="eastAsia" w:eastAsia="宋体"/>
          <w:sz w:val="22"/>
          <w:szCs w:val="22"/>
          <w:lang w:val="en-US" w:eastAsia="zh-CN"/>
        </w:rPr>
        <w:t xml:space="preserve"> requirement for an initial transmission provided at least one SSB is available at the UE during the last 160ms. This means the applicability rule is already been defined, and thus there is no additional impact on UE UL timing accuracy. </w:t>
      </w:r>
    </w:p>
    <w:p>
      <w:pPr>
        <w:numPr>
          <w:ilvl w:val="-1"/>
          <w:numId w:val="0"/>
        </w:numPr>
        <w:spacing w:beforeLines="50" w:after="0" w:afterLines="50"/>
        <w:ind w:left="0" w:firstLine="0"/>
        <w:jc w:val="both"/>
        <w:rPr>
          <w:rFonts w:hint="default" w:eastAsia="宋体"/>
          <w:sz w:val="22"/>
          <w:szCs w:val="22"/>
          <w:lang w:val="en-US" w:eastAsia="zh-CN"/>
        </w:rPr>
      </w:pPr>
      <w:r>
        <w:rPr>
          <w:rFonts w:hint="eastAsia" w:eastAsia="宋体"/>
          <w:sz w:val="22"/>
          <w:szCs w:val="22"/>
          <w:lang w:val="en-US" w:eastAsia="zh-CN"/>
        </w:rPr>
        <w:t>Furthermore, legacy TN timing requirements do not distinguish between HD-FDD and FD-FDD UE types. Following the same logic, it is concluded that HD-FDD also has no impact on UE UL timing accuracy.</w:t>
      </w:r>
    </w:p>
    <w:p>
      <w:pPr>
        <w:numPr>
          <w:ilvl w:val="-1"/>
          <w:numId w:val="0"/>
        </w:numPr>
        <w:spacing w:beforeLines="50" w:after="0" w:afterLines="50"/>
        <w:ind w:left="0" w:firstLine="0"/>
        <w:jc w:val="both"/>
        <w:rPr>
          <w:rFonts w:hint="eastAsia" w:eastAsia="宋体"/>
          <w:b/>
          <w:bCs/>
          <w:sz w:val="22"/>
          <w:szCs w:val="22"/>
          <w:lang w:val="en-US" w:eastAsia="zh-CN"/>
        </w:rPr>
      </w:pPr>
      <w:r>
        <w:rPr>
          <w:rFonts w:hint="eastAsia" w:eastAsia="宋体"/>
          <w:b/>
          <w:bCs/>
          <w:sz w:val="22"/>
          <w:szCs w:val="22"/>
          <w:lang w:val="en-US" w:eastAsia="zh-CN"/>
        </w:rPr>
        <w:t>Proposal 7: HD-FDD has no impact on UE UL timing accuracy.</w:t>
      </w:r>
    </w:p>
    <w:p>
      <w:pPr>
        <w:pStyle w:val="4"/>
        <w:jc w:val="both"/>
        <w:rPr>
          <w:rFonts w:hint="default"/>
          <w:sz w:val="22"/>
          <w:szCs w:val="16"/>
          <w:lang w:val="en-US" w:eastAsia="zh-CN"/>
        </w:rPr>
      </w:pPr>
      <w:r>
        <w:rPr>
          <w:rFonts w:hint="eastAsia"/>
          <w:sz w:val="22"/>
          <w:szCs w:val="16"/>
          <w:lang w:val="en-US" w:eastAsia="zh-CN"/>
        </w:rPr>
        <w:t xml:space="preserve">2.2.6 L1 RSRP measurement  </w:t>
      </w:r>
    </w:p>
    <w:p>
      <w:pPr>
        <w:numPr>
          <w:ilvl w:val="-1"/>
          <w:numId w:val="0"/>
        </w:numPr>
        <w:spacing w:beforeLines="50" w:after="0" w:afterLines="50"/>
        <w:ind w:left="0" w:firstLine="0"/>
        <w:jc w:val="both"/>
        <w:rPr>
          <w:rFonts w:hint="eastAsia" w:eastAsia="宋体"/>
          <w:sz w:val="22"/>
          <w:szCs w:val="22"/>
          <w:lang w:val="en-US" w:eastAsia="zh-CN"/>
        </w:rPr>
      </w:pPr>
      <w:r>
        <w:rPr>
          <w:rFonts w:hint="eastAsia" w:eastAsia="宋体"/>
          <w:sz w:val="22"/>
          <w:szCs w:val="22"/>
          <w:lang w:val="en-US" w:eastAsia="zh-CN"/>
        </w:rPr>
        <w:t>For L1 RSRP measurement scheduling availability, the agreements defined in RedCap NTN could be seen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64"/>
              <w:keepNext w:val="0"/>
              <w:keepLines w:val="0"/>
              <w:widowControl/>
              <w:suppressLineNumbers w:val="0"/>
              <w:spacing w:before="0" w:beforeAutospacing="0" w:afterAutospacing="0"/>
              <w:ind w:right="0"/>
              <w:rPr>
                <w:rFonts w:hint="default" w:eastAsia="等线"/>
                <w:sz w:val="20"/>
                <w:szCs w:val="21"/>
              </w:rPr>
            </w:pPr>
            <w:r>
              <w:rPr>
                <w:rFonts w:hint="default" w:eastAsia="等线"/>
                <w:sz w:val="20"/>
                <w:szCs w:val="21"/>
              </w:rPr>
              <w:t>When NW indicates UL overriding DL for collision handling,</w:t>
            </w:r>
          </w:p>
          <w:p>
            <w:pPr>
              <w:pStyle w:val="65"/>
              <w:keepNext w:val="0"/>
              <w:keepLines w:val="0"/>
              <w:widowControl/>
              <w:suppressLineNumbers w:val="0"/>
              <w:spacing w:before="0" w:beforeAutospacing="0" w:afterAutospacing="0"/>
              <w:ind w:left="1254" w:leftChars="417" w:right="0" w:hanging="420"/>
              <w:rPr>
                <w:rFonts w:hint="default" w:ascii="Times New Roman" w:hAnsi="Times New Roman" w:cs="Times New Roman"/>
                <w:sz w:val="21"/>
                <w:szCs w:val="21"/>
              </w:rPr>
            </w:pPr>
            <w:r>
              <w:rPr>
                <w:rFonts w:hint="default" w:ascii="Times New Roman" w:hAnsi="Times New Roman" w:cs="Times New Roman"/>
                <w:sz w:val="21"/>
                <w:szCs w:val="21"/>
              </w:rPr>
              <w:t>-</w:t>
            </w:r>
            <w:r>
              <w:rPr>
                <w:rFonts w:hint="default" w:ascii="Times New Roman" w:hAnsi="Times New Roman" w:cs="Times New Roman"/>
                <w:sz w:val="21"/>
                <w:szCs w:val="21"/>
              </w:rPr>
              <w:tab/>
            </w:r>
            <w:r>
              <w:rPr>
                <w:rFonts w:hint="default" w:ascii="Times New Roman" w:hAnsi="Times New Roman" w:cs="Times New Roman"/>
                <w:sz w:val="21"/>
                <w:szCs w:val="21"/>
              </w:rPr>
              <w:t>RAN4 to clarify that the measurement requirements for CSI-RS and PRS apply provided that no collision between CSI-RS &amp; PRS and UL transmission</w:t>
            </w:r>
          </w:p>
          <w:p>
            <w:pPr>
              <w:pStyle w:val="65"/>
              <w:keepNext w:val="0"/>
              <w:keepLines w:val="0"/>
              <w:widowControl/>
              <w:suppressLineNumbers w:val="0"/>
              <w:spacing w:before="0" w:beforeAutospacing="0" w:afterAutospacing="0"/>
              <w:ind w:left="1254" w:leftChars="417" w:right="0" w:hanging="420"/>
              <w:rPr>
                <w:rFonts w:hint="default" w:ascii="Times New Roman" w:hAnsi="Times New Roman" w:cs="Times New Roman"/>
                <w:sz w:val="21"/>
                <w:szCs w:val="21"/>
              </w:rPr>
            </w:pPr>
            <w:r>
              <w:rPr>
                <w:rFonts w:hint="default" w:ascii="Times New Roman" w:hAnsi="Times New Roman" w:cs="Times New Roman"/>
                <w:sz w:val="21"/>
                <w:szCs w:val="21"/>
              </w:rPr>
              <w:t>-</w:t>
            </w:r>
            <w:r>
              <w:rPr>
                <w:rFonts w:hint="default" w:ascii="Times New Roman" w:hAnsi="Times New Roman" w:cs="Times New Roman"/>
                <w:sz w:val="21"/>
                <w:szCs w:val="21"/>
              </w:rPr>
              <w:tab/>
            </w:r>
            <w:r>
              <w:rPr>
                <w:rFonts w:hint="default" w:ascii="Times New Roman" w:hAnsi="Times New Roman" w:cs="Times New Roman"/>
                <w:sz w:val="21"/>
                <w:szCs w:val="21"/>
              </w:rPr>
              <w:t>RAN4 to clarify that measurement requirements for CSI-RS, scheduling restriction of PDSCH, and PRACH apply provided that no collision between CSI-RS/PDSCH and PRACH</w:t>
            </w:r>
          </w:p>
          <w:p>
            <w:pPr>
              <w:pStyle w:val="64"/>
              <w:keepNext w:val="0"/>
              <w:keepLines w:val="0"/>
              <w:widowControl/>
              <w:numPr>
                <w:ilvl w:val="1"/>
                <w:numId w:val="10"/>
              </w:numPr>
              <w:suppressLineNumbers w:val="0"/>
              <w:spacing w:before="0" w:beforeAutospacing="0" w:afterAutospacing="0"/>
              <w:ind w:right="0"/>
              <w:rPr>
                <w:rFonts w:hint="default" w:eastAsia="等线"/>
                <w:sz w:val="20"/>
                <w:szCs w:val="21"/>
              </w:rPr>
            </w:pPr>
            <w:r>
              <w:rPr>
                <w:rFonts w:hint="default" w:eastAsia="等线"/>
                <w:sz w:val="20"/>
                <w:szCs w:val="21"/>
              </w:rPr>
              <w:t>Otherwise,</w:t>
            </w:r>
          </w:p>
          <w:p>
            <w:pPr>
              <w:pStyle w:val="74"/>
              <w:keepNext w:val="0"/>
              <w:keepLines w:val="0"/>
              <w:widowControl/>
              <w:numPr>
                <w:ilvl w:val="1"/>
                <w:numId w:val="10"/>
              </w:numPr>
              <w:suppressLineNumbers w:val="0"/>
              <w:spacing w:before="0" w:beforeAutospacing="0" w:afterAutospacing="0"/>
              <w:ind w:left="1276" w:right="0" w:firstLineChars="0"/>
              <w:rPr>
                <w:rFonts w:hint="default" w:ascii="Times New Roman" w:hAnsi="Times New Roman" w:eastAsia="等线" w:cs="Times New Roman"/>
                <w:sz w:val="21"/>
                <w:szCs w:val="21"/>
              </w:rPr>
            </w:pPr>
            <w:r>
              <w:rPr>
                <w:rFonts w:hint="default" w:ascii="Times New Roman" w:hAnsi="Times New Roman" w:eastAsia="等线" w:cs="Times New Roman"/>
                <w:sz w:val="21"/>
                <w:szCs w:val="21"/>
              </w:rPr>
              <w:t>CSI-RS based L1 measurement and PRS based measurement is prioritized over the UL transmission.</w:t>
            </w:r>
          </w:p>
          <w:p>
            <w:pPr>
              <w:pStyle w:val="74"/>
              <w:keepNext w:val="0"/>
              <w:keepLines w:val="0"/>
              <w:widowControl/>
              <w:numPr>
                <w:ilvl w:val="1"/>
                <w:numId w:val="10"/>
              </w:numPr>
              <w:suppressLineNumbers w:val="0"/>
              <w:spacing w:before="0" w:beforeAutospacing="0" w:afterAutospacing="0"/>
              <w:ind w:left="1276" w:right="0" w:firstLineChars="0"/>
              <w:rPr>
                <w:rFonts w:hint="default" w:ascii="Times New Roman" w:hAnsi="Times New Roman" w:eastAsia="等线" w:cs="Times New Roman"/>
                <w:sz w:val="21"/>
                <w:szCs w:val="21"/>
              </w:rPr>
            </w:pPr>
            <w:r>
              <w:rPr>
                <w:rFonts w:hint="default" w:ascii="Times New Roman" w:hAnsi="Times New Roman" w:eastAsia="等线" w:cs="Times New Roman"/>
                <w:sz w:val="21"/>
                <w:szCs w:val="21"/>
              </w:rPr>
              <w:t>The scheduling restriction requirements for PUCCH/PUSCH/SRS will apply.</w:t>
            </w:r>
          </w:p>
          <w:p>
            <w:pPr>
              <w:keepNext w:val="0"/>
              <w:keepLines w:val="0"/>
              <w:widowControl/>
              <w:numPr>
                <w:ilvl w:val="-1"/>
                <w:numId w:val="0"/>
              </w:numPr>
              <w:suppressLineNumbers w:val="0"/>
              <w:spacing w:before="0" w:beforeLines="50" w:beforeAutospacing="0" w:after="0" w:afterLines="50" w:afterAutospacing="0"/>
              <w:ind w:left="0" w:right="0"/>
              <w:jc w:val="both"/>
              <w:rPr>
                <w:rFonts w:hint="default" w:eastAsia="宋体"/>
                <w:sz w:val="22"/>
                <w:szCs w:val="22"/>
                <w:vertAlign w:val="baseline"/>
                <w:lang w:val="en-US" w:eastAsia="zh-CN"/>
              </w:rPr>
            </w:pPr>
          </w:p>
        </w:tc>
      </w:tr>
    </w:tbl>
    <w:p>
      <w:pPr>
        <w:numPr>
          <w:ilvl w:val="-1"/>
          <w:numId w:val="0"/>
        </w:numPr>
        <w:spacing w:beforeLines="50" w:after="0" w:afterLines="50"/>
        <w:ind w:left="0" w:firstLine="0"/>
        <w:jc w:val="both"/>
        <w:rPr>
          <w:rFonts w:hint="default" w:eastAsia="宋体"/>
          <w:sz w:val="22"/>
          <w:szCs w:val="22"/>
          <w:lang w:val="en-US" w:eastAsia="zh-CN"/>
        </w:rPr>
      </w:pPr>
      <w:r>
        <w:rPr>
          <w:rFonts w:hint="eastAsia" w:eastAsia="宋体"/>
          <w:sz w:val="22"/>
          <w:szCs w:val="22"/>
          <w:lang w:val="en-US" w:eastAsia="zh-CN"/>
        </w:rPr>
        <w:t>The above agreement is aligned with RAN1 agreements. Furthermore, the reuse of the existing collision handling approach as the baseline was confirmed. Therefore, the above agreements can also serve as the baseline for L1-RSRP measurement scheduling availability.</w:t>
      </w:r>
    </w:p>
    <w:p>
      <w:pPr>
        <w:numPr>
          <w:ilvl w:val="-1"/>
          <w:numId w:val="0"/>
        </w:numPr>
        <w:spacing w:beforeLines="50" w:after="0" w:afterLines="50"/>
        <w:ind w:left="0" w:firstLine="0"/>
        <w:jc w:val="both"/>
        <w:rPr>
          <w:rFonts w:hint="default" w:eastAsia="宋体"/>
          <w:b/>
          <w:bCs/>
          <w:sz w:val="22"/>
          <w:szCs w:val="22"/>
          <w:lang w:val="en-US" w:eastAsia="zh-CN"/>
        </w:rPr>
      </w:pPr>
      <w:r>
        <w:rPr>
          <w:rFonts w:hint="eastAsia" w:eastAsia="宋体"/>
          <w:b/>
          <w:bCs/>
          <w:sz w:val="22"/>
          <w:szCs w:val="22"/>
          <w:lang w:val="en-US" w:eastAsia="zh-CN"/>
        </w:rPr>
        <w:t>Proposal 8: The legacy scheduling availability for L1 RSRP measurement shall be regarded as baseline.</w:t>
      </w:r>
    </w:p>
    <w:p>
      <w:pPr>
        <w:pStyle w:val="4"/>
        <w:rPr>
          <w:rFonts w:hint="eastAsia"/>
          <w:sz w:val="22"/>
          <w:szCs w:val="16"/>
          <w:lang w:val="en-US" w:eastAsia="zh-CN"/>
        </w:rPr>
      </w:pPr>
      <w:r>
        <w:rPr>
          <w:rFonts w:hint="eastAsia"/>
          <w:sz w:val="22"/>
          <w:szCs w:val="16"/>
          <w:lang w:val="en-US" w:eastAsia="zh-CN"/>
        </w:rPr>
        <w:t xml:space="preserve">2.2.7 Satellite switching </w:t>
      </w:r>
    </w:p>
    <w:p>
      <w:pPr>
        <w:numPr>
          <w:ilvl w:val="-1"/>
          <w:numId w:val="0"/>
        </w:numPr>
        <w:spacing w:beforeLines="50" w:after="0" w:afterLines="50"/>
        <w:ind w:left="0" w:firstLine="0"/>
        <w:jc w:val="both"/>
        <w:rPr>
          <w:rFonts w:hint="eastAsia"/>
          <w:sz w:val="22"/>
          <w:szCs w:val="16"/>
          <w:lang w:val="en-US" w:eastAsia="zh-CN"/>
        </w:rPr>
      </w:pPr>
      <w:r>
        <w:rPr>
          <w:rFonts w:hint="eastAsia"/>
          <w:sz w:val="22"/>
          <w:szCs w:val="16"/>
          <w:lang w:val="en-US" w:eastAsia="zh-CN"/>
        </w:rPr>
        <w:t>During R18 discussion, RAN4 defined hard satellite switch and soft satellite switch requirements for handheld UE with FR1 numerology. In R19, corresponding requirements were established for VSAT UEs operating in the Ku band. Compared to R18 discussion, the sole modification is that T</w:t>
      </w:r>
      <w:r>
        <w:rPr>
          <w:rFonts w:hint="eastAsia"/>
          <w:sz w:val="22"/>
          <w:szCs w:val="16"/>
          <w:vertAlign w:val="subscript"/>
          <w:lang w:val="en-US" w:eastAsia="zh-CN"/>
        </w:rPr>
        <w:t>sat_beam</w:t>
      </w:r>
      <w:r>
        <w:rPr>
          <w:rFonts w:hint="eastAsia"/>
          <w:sz w:val="22"/>
          <w:szCs w:val="16"/>
          <w:lang w:val="en-US" w:eastAsia="zh-CN"/>
        </w:rPr>
        <w:t xml:space="preserve"> was added into the final delay requirements. It is understood that the legacy R19 requirements could be applied under the following additional conditions:</w:t>
      </w:r>
    </w:p>
    <w:p>
      <w:pPr>
        <w:numPr>
          <w:ilvl w:val="1"/>
          <w:numId w:val="0"/>
        </w:numPr>
        <w:spacing w:beforeLines="50" w:after="0" w:afterLines="50"/>
        <w:ind w:leftChars="100"/>
        <w:jc w:val="both"/>
        <w:rPr>
          <w:rFonts w:hint="default" w:eastAsia="宋体"/>
          <w:sz w:val="22"/>
          <w:szCs w:val="22"/>
          <w:lang w:val="en-US" w:eastAsia="zh-CN"/>
        </w:rPr>
      </w:pPr>
      <w:r>
        <w:rPr>
          <w:rFonts w:hint="default" w:eastAsia="宋体"/>
          <w:sz w:val="22"/>
          <w:szCs w:val="22"/>
          <w:lang w:val="en-US" w:eastAsia="zh-CN"/>
        </w:rPr>
        <w:t>-SSB is available at the UE once every SMTC period during T</w:t>
      </w:r>
      <w:r>
        <w:rPr>
          <w:rFonts w:hint="default" w:eastAsia="宋体"/>
          <w:sz w:val="22"/>
          <w:szCs w:val="22"/>
          <w:vertAlign w:val="subscript"/>
          <w:lang w:val="en-US" w:eastAsia="zh-CN"/>
        </w:rPr>
        <w:t>search</w:t>
      </w:r>
    </w:p>
    <w:p>
      <w:pPr>
        <w:numPr>
          <w:ilvl w:val="1"/>
          <w:numId w:val="0"/>
        </w:numPr>
        <w:spacing w:beforeLines="50" w:after="0" w:afterLines="50"/>
        <w:ind w:leftChars="100"/>
        <w:jc w:val="both"/>
        <w:rPr>
          <w:rFonts w:hint="default" w:eastAsia="宋体"/>
          <w:sz w:val="22"/>
          <w:szCs w:val="22"/>
          <w:lang w:val="en-US" w:eastAsia="zh-CN"/>
        </w:rPr>
      </w:pPr>
      <w:r>
        <w:rPr>
          <w:rFonts w:hint="default" w:eastAsia="宋体"/>
          <w:sz w:val="22"/>
          <w:szCs w:val="22"/>
          <w:lang w:val="en-US" w:eastAsia="zh-CN"/>
        </w:rPr>
        <w:t>-One SSB is available during T</w:t>
      </w:r>
      <w:r>
        <w:rPr>
          <w:rFonts w:hint="default" w:eastAsia="宋体"/>
          <w:sz w:val="22"/>
          <w:szCs w:val="22"/>
          <w:vertAlign w:val="subscript"/>
          <w:lang w:val="en-US" w:eastAsia="zh-CN"/>
        </w:rPr>
        <w:t>∆</w:t>
      </w:r>
    </w:p>
    <w:p>
      <w:pPr>
        <w:numPr>
          <w:ilvl w:val="1"/>
          <w:numId w:val="0"/>
        </w:numPr>
        <w:spacing w:beforeLines="50" w:after="0" w:afterLines="50"/>
        <w:ind w:leftChars="100"/>
        <w:jc w:val="both"/>
        <w:rPr>
          <w:rFonts w:hint="default" w:eastAsia="宋体"/>
          <w:sz w:val="22"/>
          <w:szCs w:val="22"/>
          <w:lang w:val="en-US" w:eastAsia="zh-CN"/>
        </w:rPr>
      </w:pPr>
      <w:r>
        <w:rPr>
          <w:rFonts w:hint="default" w:eastAsia="宋体"/>
          <w:sz w:val="22"/>
          <w:szCs w:val="22"/>
          <w:lang w:val="en-US" w:eastAsia="zh-CN"/>
        </w:rPr>
        <w:t>-One SSB is available during T</w:t>
      </w:r>
      <w:r>
        <w:rPr>
          <w:rFonts w:hint="default" w:eastAsia="宋体"/>
          <w:sz w:val="22"/>
          <w:szCs w:val="22"/>
          <w:vertAlign w:val="subscript"/>
          <w:lang w:val="en-US" w:eastAsia="zh-CN"/>
        </w:rPr>
        <w:t>IU</w:t>
      </w:r>
    </w:p>
    <w:p>
      <w:pPr>
        <w:numPr>
          <w:ilvl w:val="-1"/>
          <w:numId w:val="0"/>
        </w:numPr>
        <w:spacing w:beforeLines="50" w:after="0" w:afterLines="50"/>
        <w:ind w:left="0" w:firstLine="0"/>
        <w:jc w:val="both"/>
        <w:rPr>
          <w:rFonts w:hint="default"/>
          <w:sz w:val="22"/>
          <w:szCs w:val="16"/>
          <w:lang w:val="en-US" w:eastAsia="zh-CN"/>
        </w:rPr>
      </w:pPr>
      <w:r>
        <w:rPr>
          <w:rFonts w:hint="eastAsia"/>
          <w:sz w:val="22"/>
          <w:szCs w:val="16"/>
          <w:lang w:val="en-US" w:eastAsia="zh-CN"/>
        </w:rPr>
        <w:t>For HD-FDD UEs that complies with the above applicability rules, the legacy FR2-NTN satellite switching requirements shall be reused, encompassing both hard and soft satellite switch.</w:t>
      </w:r>
    </w:p>
    <w:p>
      <w:pPr>
        <w:numPr>
          <w:ilvl w:val="-1"/>
          <w:numId w:val="0"/>
        </w:numPr>
        <w:spacing w:beforeLines="50" w:after="0" w:afterLines="50"/>
        <w:ind w:left="0" w:firstLine="0"/>
        <w:jc w:val="both"/>
        <w:rPr>
          <w:rFonts w:hint="eastAsia"/>
          <w:b/>
          <w:bCs/>
          <w:sz w:val="22"/>
          <w:szCs w:val="16"/>
          <w:lang w:val="en-US" w:eastAsia="zh-CN"/>
        </w:rPr>
      </w:pPr>
      <w:r>
        <w:rPr>
          <w:rFonts w:hint="eastAsia"/>
          <w:b/>
          <w:bCs/>
          <w:sz w:val="22"/>
          <w:szCs w:val="16"/>
          <w:lang w:val="en-US" w:eastAsia="zh-CN"/>
        </w:rPr>
        <w:t>Proposal 9: The legacy FR2-NTN hard and soft satellite switching requirements could be reused with the following conditions:</w:t>
      </w:r>
    </w:p>
    <w:p>
      <w:pPr>
        <w:numPr>
          <w:ilvl w:val="1"/>
          <w:numId w:val="0"/>
        </w:numPr>
        <w:spacing w:beforeLines="50" w:after="0" w:afterLines="50"/>
        <w:ind w:leftChars="100"/>
        <w:jc w:val="both"/>
        <w:rPr>
          <w:rFonts w:hint="default" w:eastAsia="宋体"/>
          <w:b/>
          <w:bCs/>
          <w:sz w:val="22"/>
          <w:szCs w:val="22"/>
          <w:lang w:val="en-US" w:eastAsia="zh-CN"/>
        </w:rPr>
      </w:pPr>
      <w:r>
        <w:rPr>
          <w:rFonts w:hint="default" w:eastAsia="宋体"/>
          <w:b/>
          <w:bCs/>
          <w:sz w:val="22"/>
          <w:szCs w:val="22"/>
          <w:lang w:val="en-US" w:eastAsia="zh-CN"/>
        </w:rPr>
        <w:t>-SSB is available at the UE once every SMTC period during T</w:t>
      </w:r>
      <w:r>
        <w:rPr>
          <w:rFonts w:hint="default" w:eastAsia="宋体"/>
          <w:b/>
          <w:bCs/>
          <w:sz w:val="22"/>
          <w:szCs w:val="22"/>
          <w:vertAlign w:val="subscript"/>
          <w:lang w:val="en-US" w:eastAsia="zh-CN"/>
        </w:rPr>
        <w:t>search</w:t>
      </w:r>
    </w:p>
    <w:p>
      <w:pPr>
        <w:numPr>
          <w:ilvl w:val="1"/>
          <w:numId w:val="0"/>
        </w:numPr>
        <w:spacing w:beforeLines="50" w:after="0" w:afterLines="50"/>
        <w:ind w:leftChars="100"/>
        <w:jc w:val="both"/>
        <w:rPr>
          <w:rFonts w:hint="default" w:eastAsia="宋体"/>
          <w:b/>
          <w:bCs/>
          <w:sz w:val="22"/>
          <w:szCs w:val="22"/>
          <w:lang w:val="en-US" w:eastAsia="zh-CN"/>
        </w:rPr>
      </w:pPr>
      <w:r>
        <w:rPr>
          <w:rFonts w:hint="default" w:eastAsia="宋体"/>
          <w:b/>
          <w:bCs/>
          <w:sz w:val="22"/>
          <w:szCs w:val="22"/>
          <w:lang w:val="en-US" w:eastAsia="zh-CN"/>
        </w:rPr>
        <w:t>-One SSB is available during T</w:t>
      </w:r>
      <w:r>
        <w:rPr>
          <w:rFonts w:hint="default" w:eastAsia="宋体"/>
          <w:b/>
          <w:bCs/>
          <w:sz w:val="22"/>
          <w:szCs w:val="22"/>
          <w:vertAlign w:val="subscript"/>
          <w:lang w:val="en-US" w:eastAsia="zh-CN"/>
        </w:rPr>
        <w:t>∆</w:t>
      </w:r>
    </w:p>
    <w:p>
      <w:pPr>
        <w:numPr>
          <w:ilvl w:val="1"/>
          <w:numId w:val="0"/>
        </w:numPr>
        <w:spacing w:beforeLines="50" w:after="0" w:afterLines="50"/>
        <w:ind w:leftChars="100"/>
        <w:jc w:val="both"/>
        <w:rPr>
          <w:rFonts w:hint="default"/>
          <w:b/>
          <w:bCs/>
          <w:sz w:val="22"/>
          <w:szCs w:val="16"/>
          <w:lang w:val="en-US" w:eastAsia="zh-CN"/>
        </w:rPr>
      </w:pPr>
      <w:r>
        <w:rPr>
          <w:rFonts w:hint="default" w:eastAsia="宋体"/>
          <w:b/>
          <w:bCs/>
          <w:sz w:val="22"/>
          <w:szCs w:val="22"/>
          <w:lang w:val="en-US" w:eastAsia="zh-CN"/>
        </w:rPr>
        <w:t>-One SSB is available during T</w:t>
      </w:r>
      <w:r>
        <w:rPr>
          <w:rFonts w:hint="default" w:eastAsia="宋体"/>
          <w:b/>
          <w:bCs/>
          <w:sz w:val="22"/>
          <w:szCs w:val="22"/>
          <w:vertAlign w:val="subscript"/>
          <w:lang w:val="en-US" w:eastAsia="zh-CN"/>
        </w:rPr>
        <w:t>IU</w:t>
      </w:r>
    </w:p>
    <w:p>
      <w:pPr>
        <w:pStyle w:val="78"/>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R20 NR Ku band NTN enhancement</w:t>
      </w:r>
      <w:r>
        <w:rPr>
          <w:rFonts w:eastAsia="宋体"/>
          <w:lang w:eastAsia="zh-CN"/>
        </w:rPr>
        <w:t>.</w:t>
      </w:r>
    </w:p>
    <w:p>
      <w:pPr>
        <w:numPr>
          <w:ilvl w:val="-1"/>
          <w:numId w:val="0"/>
        </w:numPr>
        <w:jc w:val="both"/>
        <w:rPr>
          <w:rFonts w:hint="default" w:eastAsia="宋体"/>
          <w:b/>
          <w:bCs/>
          <w:sz w:val="22"/>
          <w:szCs w:val="22"/>
          <w:lang w:val="en-US" w:eastAsia="zh-CN"/>
        </w:rPr>
      </w:pPr>
      <w:r>
        <w:rPr>
          <w:rFonts w:hint="eastAsia" w:eastAsia="宋体"/>
          <w:b/>
          <w:bCs/>
          <w:sz w:val="22"/>
          <w:szCs w:val="22"/>
          <w:lang w:val="en-US" w:eastAsia="zh-CN"/>
        </w:rPr>
        <w:t>Proposal 1: For HD-FDD for VSAT types 2,3,5,6, RAN4 shall define a single set of RRM requirements, regardless of whether the VSAT UE is fixed or mobile, or served by GEO or LEO satellites.</w:t>
      </w:r>
    </w:p>
    <w:p>
      <w:pPr>
        <w:numPr>
          <w:ilvl w:val="-1"/>
          <w:numId w:val="0"/>
        </w:numPr>
        <w:spacing w:beforeLines="50" w:after="0" w:afterLines="50"/>
        <w:ind w:left="0" w:firstLine="0"/>
        <w:jc w:val="both"/>
        <w:rPr>
          <w:rFonts w:hint="eastAsia" w:eastAsia="宋体"/>
          <w:b/>
          <w:bCs/>
          <w:sz w:val="22"/>
          <w:szCs w:val="22"/>
          <w:lang w:val="en-US" w:eastAsia="zh-CN"/>
        </w:rPr>
      </w:pPr>
      <w:r>
        <w:rPr>
          <w:rFonts w:hint="eastAsia" w:eastAsia="宋体"/>
          <w:b/>
          <w:bCs/>
          <w:sz w:val="22"/>
          <w:szCs w:val="22"/>
          <w:lang w:val="en-US" w:eastAsia="zh-CN"/>
        </w:rPr>
        <w:t>Proposal 2: Regarding HD-FDD VSAT UE, the legacy maximum interruption in paging reception could be reused with the following legacy applicability rule:</w:t>
      </w:r>
    </w:p>
    <w:p>
      <w:pPr>
        <w:numPr>
          <w:ilvl w:val="-1"/>
          <w:numId w:val="0"/>
        </w:numPr>
        <w:spacing w:beforeLines="50" w:after="0" w:afterLines="50"/>
        <w:ind w:left="0" w:firstLine="284"/>
        <w:jc w:val="both"/>
        <w:rPr>
          <w:rFonts w:hint="default" w:eastAsia="宋体"/>
          <w:b/>
          <w:bCs/>
          <w:sz w:val="22"/>
          <w:szCs w:val="22"/>
          <w:lang w:val="en-US" w:eastAsia="zh-CN"/>
        </w:rPr>
      </w:pPr>
      <w:r>
        <w:rPr>
          <w:rFonts w:hint="eastAsia" w:eastAsia="宋体"/>
          <w:b/>
          <w:bCs/>
          <w:sz w:val="22"/>
          <w:szCs w:val="22"/>
          <w:lang w:val="en-US" w:eastAsia="zh-CN"/>
        </w:rPr>
        <w:t>-</w:t>
      </w:r>
      <w:r>
        <w:rPr>
          <w:rFonts w:hint="eastAsia" w:eastAsia="宋体"/>
          <w:b/>
          <w:bCs/>
          <w:sz w:val="22"/>
          <w:szCs w:val="22"/>
          <w:lang w:val="en-US" w:eastAsia="zh-CN"/>
        </w:rPr>
        <w:tab/>
      </w:r>
      <w:r>
        <w:rPr>
          <w:rFonts w:hint="eastAsia" w:eastAsia="宋体"/>
          <w:b/>
          <w:bCs/>
          <w:sz w:val="22"/>
          <w:szCs w:val="22"/>
          <w:lang w:val="en-US" w:eastAsia="zh-CN"/>
        </w:rPr>
        <w:t>At least one SSB is available at the UE in serving cell during the last 160ms duration.</w:t>
      </w:r>
    </w:p>
    <w:p>
      <w:pPr>
        <w:numPr>
          <w:ilvl w:val="-1"/>
          <w:numId w:val="0"/>
        </w:numPr>
        <w:spacing w:beforeLines="50" w:after="0" w:afterLines="50"/>
        <w:ind w:left="0" w:firstLine="0"/>
        <w:jc w:val="both"/>
        <w:rPr>
          <w:rFonts w:hint="default" w:eastAsia="宋体"/>
          <w:b/>
          <w:bCs/>
          <w:sz w:val="22"/>
          <w:szCs w:val="22"/>
          <w:lang w:val="en-US" w:eastAsia="zh-CN"/>
        </w:rPr>
      </w:pPr>
      <w:r>
        <w:rPr>
          <w:rFonts w:hint="eastAsia" w:eastAsia="宋体"/>
          <w:b/>
          <w:bCs/>
          <w:sz w:val="22"/>
          <w:szCs w:val="22"/>
          <w:lang w:val="en-US" w:eastAsia="zh-CN"/>
        </w:rPr>
        <w:t>Observation 1: I</w:t>
      </w:r>
      <w:r>
        <w:rPr>
          <w:rFonts w:hint="eastAsia" w:eastAsia="宋体"/>
          <w:b/>
          <w:bCs/>
          <w:sz w:val="22"/>
          <w:szCs w:val="22"/>
          <w:vertAlign w:val="baseline"/>
          <w:lang w:val="en-US" w:eastAsia="zh-CN"/>
        </w:rPr>
        <w:t>n legacy RedCap TN discussion, collision cases were already defined and SSB is always prioritized over UL transmission, but the related applicability rules have still been captured.</w:t>
      </w:r>
    </w:p>
    <w:p>
      <w:pPr>
        <w:numPr>
          <w:ilvl w:val="-1"/>
          <w:numId w:val="0"/>
        </w:numPr>
        <w:spacing w:beforeLines="50" w:after="0" w:afterLines="50"/>
        <w:jc w:val="both"/>
        <w:rPr>
          <w:rFonts w:hint="default" w:eastAsia="宋体"/>
          <w:b/>
          <w:bCs/>
          <w:sz w:val="22"/>
          <w:szCs w:val="22"/>
          <w:lang w:val="en-US" w:eastAsia="zh-CN"/>
        </w:rPr>
      </w:pPr>
      <w:r>
        <w:rPr>
          <w:rFonts w:hint="eastAsia" w:eastAsia="宋体"/>
          <w:b/>
          <w:bCs/>
          <w:sz w:val="22"/>
          <w:szCs w:val="22"/>
          <w:lang w:val="en-US" w:eastAsia="zh-CN"/>
        </w:rPr>
        <w:t>Proposal 3: Legacy FR2-NTN handover and conditional handover could be reused, provided that the following applicability rules shall be captured:</w:t>
      </w:r>
    </w:p>
    <w:p>
      <w:pPr>
        <w:numPr>
          <w:ilvl w:val="-1"/>
          <w:numId w:val="0"/>
        </w:numPr>
        <w:spacing w:beforeLines="50" w:after="0" w:afterLines="50"/>
        <w:jc w:val="both"/>
        <w:rPr>
          <w:rFonts w:hint="default" w:eastAsia="宋体"/>
          <w:b/>
          <w:bCs/>
          <w:sz w:val="22"/>
          <w:szCs w:val="22"/>
          <w:lang w:val="en-US" w:eastAsia="zh-CN"/>
        </w:rPr>
      </w:pPr>
      <w:r>
        <w:rPr>
          <w:rFonts w:hint="default" w:eastAsia="宋体"/>
          <w:b/>
          <w:bCs/>
          <w:sz w:val="22"/>
          <w:szCs w:val="22"/>
          <w:lang w:val="en-US" w:eastAsia="zh-CN"/>
        </w:rPr>
        <w:t>For RACH-based HO</w:t>
      </w:r>
      <w:r>
        <w:rPr>
          <w:rFonts w:hint="eastAsia" w:eastAsia="宋体"/>
          <w:b/>
          <w:bCs/>
          <w:sz w:val="22"/>
          <w:szCs w:val="22"/>
          <w:lang w:val="en-US" w:eastAsia="zh-CN"/>
        </w:rPr>
        <w:t xml:space="preserve">, </w:t>
      </w:r>
      <w:r>
        <w:rPr>
          <w:rFonts w:hint="default" w:eastAsia="宋体"/>
          <w:b/>
          <w:bCs/>
          <w:sz w:val="22"/>
          <w:szCs w:val="22"/>
          <w:lang w:val="en-US" w:eastAsia="zh-CN"/>
        </w:rPr>
        <w:t>following applicability rules to adapt HD-FDD case should be added:</w:t>
      </w:r>
    </w:p>
    <w:p>
      <w:pPr>
        <w:numPr>
          <w:ilvl w:val="1"/>
          <w:numId w:val="0"/>
        </w:numPr>
        <w:spacing w:beforeLines="50" w:after="0" w:afterLines="50"/>
        <w:ind w:leftChars="100"/>
        <w:jc w:val="both"/>
        <w:rPr>
          <w:rFonts w:hint="default" w:eastAsia="宋体"/>
          <w:b/>
          <w:bCs/>
          <w:sz w:val="22"/>
          <w:szCs w:val="22"/>
          <w:lang w:val="en-US" w:eastAsia="zh-CN"/>
        </w:rPr>
      </w:pPr>
      <w:r>
        <w:rPr>
          <w:rFonts w:hint="default" w:eastAsia="宋体"/>
          <w:b/>
          <w:bCs/>
          <w:sz w:val="22"/>
          <w:szCs w:val="22"/>
          <w:lang w:val="en-US" w:eastAsia="zh-CN"/>
        </w:rPr>
        <w:t>-SSB is available at the UE once every SMTC period during Tsearch</w:t>
      </w:r>
    </w:p>
    <w:p>
      <w:pPr>
        <w:numPr>
          <w:ilvl w:val="1"/>
          <w:numId w:val="0"/>
        </w:numPr>
        <w:spacing w:beforeLines="50" w:after="0" w:afterLines="50"/>
        <w:ind w:leftChars="100"/>
        <w:jc w:val="both"/>
        <w:rPr>
          <w:rFonts w:hint="default" w:eastAsia="宋体"/>
          <w:b/>
          <w:bCs/>
          <w:sz w:val="22"/>
          <w:szCs w:val="22"/>
          <w:lang w:val="en-US" w:eastAsia="zh-CN"/>
        </w:rPr>
      </w:pPr>
      <w:r>
        <w:rPr>
          <w:rFonts w:hint="default" w:eastAsia="宋体"/>
          <w:b/>
          <w:bCs/>
          <w:sz w:val="22"/>
          <w:szCs w:val="22"/>
          <w:lang w:val="en-US" w:eastAsia="zh-CN"/>
        </w:rPr>
        <w:t>-One SSB is available during T</w:t>
      </w:r>
      <w:r>
        <w:rPr>
          <w:rFonts w:hint="default" w:eastAsia="宋体"/>
          <w:b/>
          <w:bCs/>
          <w:sz w:val="22"/>
          <w:szCs w:val="22"/>
          <w:vertAlign w:val="subscript"/>
          <w:lang w:val="en-US" w:eastAsia="zh-CN"/>
        </w:rPr>
        <w:t>∆</w:t>
      </w:r>
    </w:p>
    <w:p>
      <w:pPr>
        <w:numPr>
          <w:ilvl w:val="1"/>
          <w:numId w:val="0"/>
        </w:numPr>
        <w:spacing w:beforeLines="50" w:after="0" w:afterLines="50"/>
        <w:ind w:leftChars="100"/>
        <w:jc w:val="both"/>
        <w:rPr>
          <w:rFonts w:hint="default" w:eastAsia="宋体"/>
          <w:b/>
          <w:bCs/>
          <w:sz w:val="22"/>
          <w:szCs w:val="22"/>
          <w:lang w:val="en-US" w:eastAsia="zh-CN"/>
        </w:rPr>
      </w:pPr>
      <w:r>
        <w:rPr>
          <w:rFonts w:hint="default" w:eastAsia="宋体"/>
          <w:b/>
          <w:bCs/>
          <w:sz w:val="22"/>
          <w:szCs w:val="22"/>
          <w:lang w:val="en-US" w:eastAsia="zh-CN"/>
        </w:rPr>
        <w:t>-One SSB is available during T</w:t>
      </w:r>
      <w:r>
        <w:rPr>
          <w:rFonts w:hint="default" w:eastAsia="宋体"/>
          <w:b/>
          <w:bCs/>
          <w:sz w:val="22"/>
          <w:szCs w:val="22"/>
          <w:vertAlign w:val="subscript"/>
          <w:lang w:val="en-US" w:eastAsia="zh-CN"/>
        </w:rPr>
        <w:t>IU</w:t>
      </w:r>
    </w:p>
    <w:p>
      <w:pPr>
        <w:numPr>
          <w:ilvl w:val="-1"/>
          <w:numId w:val="0"/>
        </w:numPr>
        <w:spacing w:beforeLines="50" w:after="0" w:afterLines="50"/>
        <w:jc w:val="both"/>
        <w:rPr>
          <w:rFonts w:hint="default" w:eastAsia="宋体"/>
          <w:b/>
          <w:bCs/>
          <w:sz w:val="22"/>
          <w:szCs w:val="22"/>
          <w:lang w:val="en-US" w:eastAsia="zh-CN"/>
        </w:rPr>
      </w:pPr>
      <w:r>
        <w:rPr>
          <w:rFonts w:hint="default" w:eastAsia="宋体"/>
          <w:b/>
          <w:bCs/>
          <w:sz w:val="22"/>
          <w:szCs w:val="22"/>
          <w:lang w:val="en-US" w:eastAsia="zh-CN"/>
        </w:rPr>
        <w:t>For Time/location-based CHO with L3 measurement, following applicability rules to adapt HD-FDD case should be added:</w:t>
      </w:r>
    </w:p>
    <w:p>
      <w:pPr>
        <w:numPr>
          <w:ilvl w:val="1"/>
          <w:numId w:val="0"/>
        </w:numPr>
        <w:spacing w:beforeLines="50" w:after="0" w:afterLines="50"/>
        <w:ind w:leftChars="100"/>
        <w:jc w:val="both"/>
        <w:rPr>
          <w:rFonts w:hint="default" w:eastAsia="宋体"/>
          <w:b/>
          <w:bCs/>
          <w:sz w:val="22"/>
          <w:szCs w:val="22"/>
          <w:lang w:val="en-US" w:eastAsia="zh-CN"/>
        </w:rPr>
      </w:pPr>
      <w:r>
        <w:rPr>
          <w:rFonts w:hint="default" w:eastAsia="宋体"/>
          <w:b/>
          <w:bCs/>
          <w:sz w:val="22"/>
          <w:szCs w:val="22"/>
          <w:lang w:val="en-US" w:eastAsia="zh-CN"/>
        </w:rPr>
        <w:t>-One SSB is available during T</w:t>
      </w:r>
      <w:r>
        <w:rPr>
          <w:rFonts w:hint="default" w:eastAsia="宋体"/>
          <w:b/>
          <w:bCs/>
          <w:sz w:val="22"/>
          <w:szCs w:val="22"/>
          <w:vertAlign w:val="subscript"/>
          <w:lang w:val="en-US" w:eastAsia="zh-CN"/>
        </w:rPr>
        <w:t>∆</w:t>
      </w:r>
    </w:p>
    <w:p>
      <w:pPr>
        <w:numPr>
          <w:ilvl w:val="1"/>
          <w:numId w:val="0"/>
        </w:numPr>
        <w:spacing w:beforeLines="50" w:after="0" w:afterLines="50"/>
        <w:ind w:leftChars="100"/>
        <w:jc w:val="both"/>
        <w:rPr>
          <w:rFonts w:hint="eastAsia" w:eastAsia="宋体"/>
          <w:sz w:val="22"/>
          <w:szCs w:val="22"/>
          <w:lang w:val="en-US" w:eastAsia="zh-CN"/>
        </w:rPr>
      </w:pPr>
      <w:r>
        <w:rPr>
          <w:rFonts w:hint="eastAsia" w:eastAsia="宋体"/>
          <w:b/>
          <w:bCs/>
          <w:sz w:val="22"/>
          <w:szCs w:val="22"/>
          <w:lang w:val="en-US" w:eastAsia="zh-CN"/>
        </w:rPr>
        <w:t>-</w:t>
      </w:r>
      <w:r>
        <w:rPr>
          <w:rFonts w:hint="default" w:eastAsia="宋体"/>
          <w:b/>
          <w:bCs/>
          <w:sz w:val="22"/>
          <w:szCs w:val="22"/>
          <w:lang w:val="en-US" w:eastAsia="zh-CN"/>
        </w:rPr>
        <w:t>One SSB is available during T</w:t>
      </w:r>
      <w:r>
        <w:rPr>
          <w:rFonts w:hint="default" w:eastAsia="宋体"/>
          <w:b/>
          <w:bCs/>
          <w:sz w:val="22"/>
          <w:szCs w:val="22"/>
          <w:vertAlign w:val="subscript"/>
          <w:lang w:val="en-US" w:eastAsia="zh-CN"/>
        </w:rPr>
        <w:t>IU</w:t>
      </w:r>
    </w:p>
    <w:p>
      <w:pPr>
        <w:numPr>
          <w:ilvl w:val="-1"/>
          <w:numId w:val="0"/>
        </w:numPr>
        <w:spacing w:beforeLines="50" w:after="0" w:afterLines="50"/>
        <w:ind w:left="0" w:firstLine="0"/>
        <w:jc w:val="both"/>
        <w:rPr>
          <w:rFonts w:hint="default" w:eastAsia="宋体"/>
          <w:b/>
          <w:bCs/>
          <w:sz w:val="22"/>
          <w:szCs w:val="22"/>
          <w:lang w:val="en-US" w:eastAsia="zh-CN"/>
        </w:rPr>
      </w:pPr>
      <w:r>
        <w:rPr>
          <w:rFonts w:hint="eastAsia" w:eastAsia="宋体"/>
          <w:b/>
          <w:bCs/>
          <w:sz w:val="22"/>
          <w:szCs w:val="22"/>
          <w:lang w:val="en-US" w:eastAsia="zh-CN"/>
        </w:rPr>
        <w:t>Observation 2: The legacy redirection requirements primarily target FR1 UEs (e.g. handheld UEs) equipped with omnidirectional antennas.</w:t>
      </w:r>
    </w:p>
    <w:p>
      <w:pPr>
        <w:numPr>
          <w:ilvl w:val="-1"/>
          <w:numId w:val="0"/>
        </w:numPr>
        <w:spacing w:beforeLines="50" w:after="0" w:afterLines="50"/>
        <w:ind w:left="0" w:firstLine="0"/>
        <w:jc w:val="both"/>
        <w:rPr>
          <w:rFonts w:hint="eastAsia" w:eastAsiaTheme="minorEastAsia"/>
          <w:b/>
          <w:bCs/>
          <w:sz w:val="22"/>
          <w:szCs w:val="22"/>
          <w:lang w:val="en-US" w:eastAsia="zh-CN"/>
        </w:rPr>
      </w:pPr>
      <w:r>
        <w:rPr>
          <w:rFonts w:hint="eastAsia" w:eastAsia="宋体"/>
          <w:b/>
          <w:bCs/>
          <w:sz w:val="22"/>
          <w:szCs w:val="22"/>
          <w:lang w:val="en-US" w:eastAsia="zh-CN"/>
        </w:rPr>
        <w:t xml:space="preserve">Observation 3: </w:t>
      </w:r>
      <w:r>
        <w:rPr>
          <w:rFonts w:hint="default" w:eastAsiaTheme="minorEastAsia"/>
          <w:b/>
          <w:bCs/>
          <w:color w:val="000000"/>
          <w:sz w:val="20"/>
          <w:szCs w:val="21"/>
          <w:lang w:val="en-GB"/>
        </w:rPr>
        <w:t>Unless otherwise stated, the requirements defined for FR2-NTN apply for VSAT working in FR1-NTN</w:t>
      </w:r>
      <w:r>
        <w:rPr>
          <w:rFonts w:hint="eastAsia" w:eastAsiaTheme="minorEastAsia"/>
          <w:b/>
          <w:bCs/>
          <w:color w:val="000000"/>
          <w:sz w:val="20"/>
          <w:szCs w:val="21"/>
          <w:lang w:val="en-US" w:eastAsia="zh-CN"/>
        </w:rPr>
        <w:t>.</w:t>
      </w:r>
    </w:p>
    <w:p>
      <w:pPr>
        <w:numPr>
          <w:ilvl w:val="-1"/>
          <w:numId w:val="0"/>
        </w:numPr>
        <w:spacing w:beforeLines="50" w:after="0" w:afterLines="50"/>
        <w:ind w:left="0" w:firstLine="0"/>
        <w:jc w:val="both"/>
        <w:rPr>
          <w:rFonts w:hint="eastAsia" w:eastAsia="宋体"/>
          <w:b/>
          <w:bCs/>
          <w:sz w:val="22"/>
          <w:szCs w:val="22"/>
          <w:lang w:val="en-US" w:eastAsia="zh-CN"/>
        </w:rPr>
      </w:pPr>
      <w:r>
        <w:rPr>
          <w:rFonts w:hint="eastAsia" w:eastAsia="宋体"/>
          <w:b/>
          <w:bCs/>
          <w:sz w:val="22"/>
          <w:szCs w:val="22"/>
          <w:lang w:val="en-US" w:eastAsia="zh-CN"/>
        </w:rPr>
        <w:t>Proposal 4: Legacy redirection requirements shall be updated for HD-FDD VSAT UEs with adding T</w:t>
      </w:r>
      <w:r>
        <w:rPr>
          <w:rFonts w:hint="eastAsia" w:eastAsia="宋体"/>
          <w:b/>
          <w:bCs/>
          <w:sz w:val="22"/>
          <w:szCs w:val="22"/>
          <w:vertAlign w:val="subscript"/>
          <w:lang w:val="en-US" w:eastAsia="zh-CN"/>
        </w:rPr>
        <w:t>sat_beam</w:t>
      </w:r>
      <w:r>
        <w:rPr>
          <w:rFonts w:hint="eastAsia" w:eastAsia="宋体"/>
          <w:b/>
          <w:bCs/>
          <w:sz w:val="22"/>
          <w:szCs w:val="22"/>
          <w:lang w:val="en-US" w:eastAsia="zh-CN"/>
        </w:rPr>
        <w:t>, as follows:</w:t>
      </w:r>
    </w:p>
    <w:p>
      <w:pPr>
        <w:pStyle w:val="30"/>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center"/>
        <w:rPr>
          <w:rFonts w:cs="v4.2.0"/>
          <w:b/>
          <w:bCs/>
          <w:vertAlign w:val="subscript"/>
          <w:lang w:val="en-US"/>
        </w:rPr>
      </w:pPr>
      <w:r>
        <w:rPr>
          <w:rFonts w:hint="default" w:ascii="Times New Roman" w:hAnsi="Times New Roman" w:eastAsia="Times New Roman" w:cs="Times New Roman"/>
          <w:b/>
          <w:bCs/>
          <w:kern w:val="0"/>
          <w:sz w:val="20"/>
          <w:szCs w:val="20"/>
          <w:lang w:val="en-US" w:eastAsia="zh-CN" w:bidi="ar"/>
        </w:rPr>
        <w:t>T</w:t>
      </w:r>
      <w:r>
        <w:rPr>
          <w:rFonts w:hint="default" w:ascii="Times New Roman" w:hAnsi="Times New Roman" w:eastAsia="Times New Roman" w:cs="Times New Roman"/>
          <w:b/>
          <w:bCs/>
          <w:kern w:val="0"/>
          <w:sz w:val="20"/>
          <w:szCs w:val="20"/>
          <w:vertAlign w:val="subscript"/>
          <w:lang w:val="en-US" w:eastAsia="zh-CN" w:bidi="ar"/>
        </w:rPr>
        <w:t>connection_release_redirect_NR</w:t>
      </w:r>
      <w:r>
        <w:rPr>
          <w:rFonts w:hint="default" w:ascii="Times New Roman" w:hAnsi="Times New Roman" w:eastAsia="Times New Roman" w:cs="Times New Roman"/>
          <w:b/>
          <w:bCs/>
          <w:kern w:val="0"/>
          <w:sz w:val="20"/>
          <w:szCs w:val="20"/>
          <w:lang w:val="en-US" w:eastAsia="zh-CN" w:bidi="ar"/>
        </w:rPr>
        <w:t xml:space="preserve"> = T</w:t>
      </w:r>
      <w:r>
        <w:rPr>
          <w:rFonts w:hint="default" w:ascii="Times New Roman" w:hAnsi="Times New Roman" w:eastAsia="Times New Roman" w:cs="Times New Roman"/>
          <w:b/>
          <w:bCs/>
          <w:kern w:val="0"/>
          <w:sz w:val="20"/>
          <w:szCs w:val="20"/>
          <w:vertAlign w:val="subscript"/>
          <w:lang w:val="en-US" w:eastAsia="zh-CN" w:bidi="ar"/>
        </w:rPr>
        <w:t xml:space="preserve">RRC_procedure_delay </w:t>
      </w:r>
      <w:r>
        <w:rPr>
          <w:rFonts w:hint="default" w:ascii="Times New Roman" w:hAnsi="Times New Roman" w:eastAsia="Times New Roman" w:cs="Times New Roman"/>
          <w:b/>
          <w:bCs/>
          <w:kern w:val="0"/>
          <w:sz w:val="20"/>
          <w:szCs w:val="20"/>
          <w:lang w:val="en-US" w:eastAsia="zh-CN" w:bidi="ar"/>
        </w:rPr>
        <w:t xml:space="preserve">+ </w:t>
      </w:r>
      <w:r>
        <w:rPr>
          <w:rFonts w:hint="default" w:ascii="Times New Roman" w:hAnsi="Times New Roman" w:eastAsia="宋体" w:cs="Times New Roman"/>
          <w:b/>
          <w:bCs/>
          <w:sz w:val="22"/>
          <w:szCs w:val="22"/>
          <w:lang w:val="en-US" w:eastAsia="zh-CN"/>
        </w:rPr>
        <w:t>T</w:t>
      </w:r>
      <w:r>
        <w:rPr>
          <w:rFonts w:hint="default" w:ascii="Times New Roman" w:hAnsi="Times New Roman" w:eastAsia="宋体" w:cs="Times New Roman"/>
          <w:b/>
          <w:bCs/>
          <w:sz w:val="22"/>
          <w:szCs w:val="22"/>
          <w:vertAlign w:val="subscript"/>
          <w:lang w:val="en-US" w:eastAsia="zh-CN"/>
        </w:rPr>
        <w:t>sat_beam</w:t>
      </w:r>
      <w:r>
        <w:rPr>
          <w:rFonts w:hint="eastAsia"/>
          <w:b/>
          <w:bCs/>
          <w:sz w:val="22"/>
          <w:szCs w:val="22"/>
          <w:lang w:val="en-US" w:eastAsia="zh-CN"/>
        </w:rPr>
        <w:t>+</w:t>
      </w:r>
      <w:r>
        <w:rPr>
          <w:rFonts w:hint="default" w:ascii="Times New Roman" w:hAnsi="Times New Roman" w:eastAsia="Times New Roman" w:cs="v4.2.0"/>
          <w:b/>
          <w:bCs/>
          <w:kern w:val="0"/>
          <w:sz w:val="20"/>
          <w:szCs w:val="20"/>
          <w:lang w:val="en-US" w:eastAsia="zh-CN" w:bidi="ar"/>
        </w:rPr>
        <w:t>T</w:t>
      </w:r>
      <w:r>
        <w:rPr>
          <w:rFonts w:hint="default" w:ascii="Times New Roman" w:hAnsi="Times New Roman" w:eastAsia="Times New Roman" w:cs="v4.2.0"/>
          <w:b/>
          <w:bCs/>
          <w:kern w:val="0"/>
          <w:sz w:val="20"/>
          <w:szCs w:val="20"/>
          <w:vertAlign w:val="subscript"/>
          <w:lang w:val="en-US" w:eastAsia="zh-CN" w:bidi="ar"/>
        </w:rPr>
        <w:t xml:space="preserve">identify-NR </w:t>
      </w:r>
      <w:r>
        <w:rPr>
          <w:rFonts w:hint="default" w:ascii="Times New Roman" w:hAnsi="Times New Roman" w:eastAsia="Times New Roman" w:cs="v4.2.0"/>
          <w:b/>
          <w:bCs/>
          <w:kern w:val="0"/>
          <w:sz w:val="20"/>
          <w:szCs w:val="20"/>
          <w:lang w:val="en-US" w:eastAsia="zh-CN" w:bidi="ar"/>
        </w:rPr>
        <w:t>+ T</w:t>
      </w:r>
      <w:r>
        <w:rPr>
          <w:rFonts w:hint="default" w:ascii="Times New Roman" w:hAnsi="Times New Roman" w:eastAsia="Times New Roman" w:cs="v4.2.0"/>
          <w:b/>
          <w:bCs/>
          <w:kern w:val="0"/>
          <w:sz w:val="20"/>
          <w:szCs w:val="20"/>
          <w:vertAlign w:val="subscript"/>
          <w:lang w:val="en-US" w:eastAsia="zh-CN" w:bidi="ar"/>
        </w:rPr>
        <w:t xml:space="preserve">SI-NR </w:t>
      </w:r>
      <w:r>
        <w:rPr>
          <w:rFonts w:hint="default" w:ascii="Times New Roman" w:hAnsi="Times New Roman" w:eastAsia="Times New Roman" w:cs="v4.2.0"/>
          <w:b/>
          <w:bCs/>
          <w:kern w:val="0"/>
          <w:sz w:val="20"/>
          <w:szCs w:val="20"/>
          <w:lang w:val="en-US" w:eastAsia="zh-CN" w:bidi="ar"/>
        </w:rPr>
        <w:t>+ T</w:t>
      </w:r>
      <w:r>
        <w:rPr>
          <w:rFonts w:hint="default" w:ascii="Times New Roman" w:hAnsi="Times New Roman" w:eastAsia="Times New Roman" w:cs="v4.2.0"/>
          <w:b/>
          <w:bCs/>
          <w:kern w:val="0"/>
          <w:sz w:val="20"/>
          <w:szCs w:val="20"/>
          <w:vertAlign w:val="subscript"/>
          <w:lang w:val="en-US" w:eastAsia="zh-CN" w:bidi="ar"/>
        </w:rPr>
        <w:t>RACH</w:t>
      </w:r>
    </w:p>
    <w:p>
      <w:pPr>
        <w:numPr>
          <w:ilvl w:val="-1"/>
          <w:numId w:val="0"/>
        </w:numPr>
        <w:spacing w:beforeLines="50" w:after="0" w:afterLines="50"/>
        <w:ind w:left="0" w:firstLine="0"/>
        <w:jc w:val="both"/>
        <w:rPr>
          <w:rFonts w:hint="eastAsia" w:eastAsia="宋体"/>
          <w:b/>
          <w:bCs/>
          <w:sz w:val="22"/>
          <w:szCs w:val="22"/>
          <w:lang w:val="en-US" w:eastAsia="zh-CN"/>
        </w:rPr>
      </w:pPr>
      <w:r>
        <w:rPr>
          <w:rFonts w:hint="eastAsia" w:eastAsia="宋体"/>
          <w:b/>
          <w:bCs/>
          <w:sz w:val="22"/>
          <w:szCs w:val="22"/>
          <w:lang w:val="en-US" w:eastAsia="zh-CN"/>
        </w:rPr>
        <w:t>where,</w:t>
      </w:r>
    </w:p>
    <w:p>
      <w:pPr>
        <w:pStyle w:val="30"/>
        <w:overflowPunct w:val="0"/>
        <w:autoSpaceDE w:val="0"/>
        <w:autoSpaceDN w:val="0"/>
        <w:adjustRightInd w:val="0"/>
        <w:spacing w:after="180"/>
        <w:ind w:left="851" w:hanging="284"/>
        <w:jc w:val="left"/>
        <w:rPr>
          <w:rFonts w:hint="default" w:eastAsia="宋体"/>
          <w:sz w:val="22"/>
          <w:szCs w:val="22"/>
          <w:lang w:val="en-US" w:eastAsia="zh-CN"/>
        </w:rPr>
      </w:pPr>
      <w:r>
        <w:rPr>
          <w:rFonts w:hint="default" w:ascii="Times New Roman" w:hAnsi="Times New Roman" w:eastAsia="Times New Roman" w:cs="Times New Roman"/>
          <w:b/>
          <w:bCs/>
          <w:kern w:val="0"/>
          <w:sz w:val="20"/>
          <w:szCs w:val="20"/>
          <w:lang w:val="en-US" w:eastAsia="zh-CN" w:bidi="ar"/>
        </w:rPr>
        <w:t>-</w:t>
      </w:r>
      <w:r>
        <w:rPr>
          <w:rFonts w:hint="default" w:ascii="Times New Roman" w:hAnsi="Times New Roman" w:eastAsia="Times New Roman" w:cs="Times New Roman"/>
          <w:b/>
          <w:bCs/>
          <w:kern w:val="0"/>
          <w:sz w:val="20"/>
          <w:szCs w:val="20"/>
          <w:lang w:val="en-US" w:eastAsia="zh-CN" w:bidi="ar"/>
        </w:rPr>
        <w:tab/>
      </w:r>
      <w:r>
        <w:rPr>
          <w:rFonts w:hint="default" w:ascii="Times New Roman" w:hAnsi="Times New Roman" w:eastAsia="Times New Roman" w:cs="Times New Roman"/>
          <w:b/>
          <w:bCs/>
          <w:kern w:val="0"/>
          <w:sz w:val="20"/>
          <w:szCs w:val="20"/>
          <w:lang w:val="en-US" w:eastAsia="zh-CN" w:bidi="ar"/>
        </w:rPr>
        <w:t>For UE indicating ‘</w:t>
      </w:r>
      <w:r>
        <w:rPr>
          <w:rFonts w:hint="default" w:ascii="Times New Roman" w:hAnsi="Times New Roman" w:eastAsia="Times New Roman" w:cs="Times New Roman"/>
          <w:b/>
          <w:bCs/>
          <w:i/>
          <w:iCs/>
          <w:kern w:val="0"/>
          <w:sz w:val="20"/>
          <w:szCs w:val="20"/>
          <w:lang w:val="en-US" w:eastAsia="zh-CN" w:bidi="ar"/>
        </w:rPr>
        <w:t>electronic’</w:t>
      </w:r>
      <w:r>
        <w:rPr>
          <w:rFonts w:hint="default" w:ascii="Times New Roman" w:hAnsi="Times New Roman" w:eastAsia="Times New Roman" w:cs="Times New Roman"/>
          <w:b/>
          <w:bCs/>
          <w:kern w:val="0"/>
          <w:sz w:val="20"/>
          <w:szCs w:val="20"/>
          <w:lang w:val="en-US" w:eastAsia="zh-CN" w:bidi="ar"/>
        </w:rPr>
        <w:t xml:space="preserve"> via UE capability </w:t>
      </w:r>
      <w:r>
        <w:rPr>
          <w:rFonts w:hint="default" w:ascii="Times New Roman" w:hAnsi="Times New Roman" w:eastAsia="Times New Roman" w:cs="Times New Roman"/>
          <w:b/>
          <w:bCs/>
          <w:i/>
          <w:iCs/>
          <w:kern w:val="0"/>
          <w:sz w:val="20"/>
          <w:szCs w:val="20"/>
          <w:lang w:val="en-US" w:eastAsia="zh-CN" w:bidi="ar"/>
        </w:rPr>
        <w:t>ntn-VSAT-AntennaType-r18</w:t>
      </w:r>
      <w:r>
        <w:rPr>
          <w:rFonts w:hint="default" w:ascii="Times New Roman" w:hAnsi="Times New Roman" w:eastAsia="Times New Roman" w:cs="Times New Roman"/>
          <w:b/>
          <w:bCs/>
          <w:kern w:val="0"/>
          <w:sz w:val="20"/>
          <w:szCs w:val="20"/>
          <w:lang w:val="en-US" w:eastAsia="zh-CN" w:bidi="ar"/>
        </w:rPr>
        <w:t>, T</w:t>
      </w:r>
      <w:r>
        <w:rPr>
          <w:rFonts w:hint="default" w:ascii="Times New Roman" w:hAnsi="Times New Roman" w:eastAsia="Times New Roman" w:cs="Times New Roman"/>
          <w:b/>
          <w:bCs/>
          <w:kern w:val="0"/>
          <w:sz w:val="20"/>
          <w:szCs w:val="20"/>
          <w:vertAlign w:val="subscript"/>
          <w:lang w:val="en-US" w:eastAsia="zh-CN" w:bidi="ar"/>
        </w:rPr>
        <w:t xml:space="preserve">sat_beam </w:t>
      </w:r>
      <w:r>
        <w:rPr>
          <w:rFonts w:hint="default" w:ascii="Times New Roman" w:hAnsi="Times New Roman" w:eastAsia="Times New Roman" w:cs="Times New Roman"/>
          <w:b/>
          <w:bCs/>
          <w:kern w:val="0"/>
          <w:sz w:val="20"/>
          <w:szCs w:val="20"/>
          <w:lang w:val="en-US" w:eastAsia="zh-CN" w:bidi="ar"/>
        </w:rPr>
        <w:t>is 3*T</w:t>
      </w:r>
      <w:r>
        <w:rPr>
          <w:rFonts w:hint="default" w:ascii="Times New Roman" w:hAnsi="Times New Roman" w:eastAsia="Times New Roman" w:cs="Times New Roman"/>
          <w:b/>
          <w:bCs/>
          <w:kern w:val="0"/>
          <w:sz w:val="20"/>
          <w:szCs w:val="20"/>
          <w:vertAlign w:val="subscript"/>
          <w:lang w:val="en-US" w:eastAsia="zh-CN" w:bidi="ar"/>
        </w:rPr>
        <w:t>rs</w:t>
      </w:r>
    </w:p>
    <w:p>
      <w:pPr>
        <w:numPr>
          <w:ilvl w:val="-1"/>
          <w:numId w:val="0"/>
        </w:numPr>
        <w:spacing w:beforeLines="50" w:after="0" w:afterLines="50"/>
        <w:ind w:left="0" w:firstLine="0"/>
        <w:jc w:val="both"/>
        <w:rPr>
          <w:rFonts w:hint="eastAsia" w:eastAsia="宋体"/>
          <w:b/>
          <w:bCs/>
          <w:sz w:val="22"/>
          <w:szCs w:val="22"/>
          <w:lang w:val="en-US" w:eastAsia="zh-CN"/>
        </w:rPr>
      </w:pPr>
      <w:r>
        <w:rPr>
          <w:rFonts w:hint="eastAsia" w:eastAsia="宋体"/>
          <w:b/>
          <w:bCs/>
          <w:sz w:val="22"/>
          <w:szCs w:val="22"/>
          <w:lang w:val="en-US" w:eastAsia="zh-CN"/>
        </w:rPr>
        <w:t>Proposal 5: The legacy applicability rules shall be reused, as follows:</w:t>
      </w:r>
    </w:p>
    <w:p>
      <w:pPr>
        <w:numPr>
          <w:ilvl w:val="-1"/>
          <w:numId w:val="0"/>
        </w:numPr>
        <w:spacing w:beforeLines="50" w:after="0" w:afterLines="50"/>
        <w:ind w:left="0" w:firstLine="0"/>
        <w:jc w:val="both"/>
        <w:rPr>
          <w:rFonts w:hint="default" w:eastAsia="宋体"/>
          <w:b/>
          <w:bCs/>
          <w:sz w:val="22"/>
          <w:szCs w:val="22"/>
          <w:lang w:val="en-US" w:eastAsia="zh-CN"/>
        </w:rPr>
      </w:pPr>
      <w:r>
        <w:rPr>
          <w:rFonts w:hint="default" w:ascii="Times New Roman" w:hAnsi="Times New Roman" w:eastAsia="Times New Roman" w:cs="Times New Roman"/>
          <w:b/>
          <w:bCs/>
          <w:kern w:val="0"/>
          <w:sz w:val="20"/>
          <w:szCs w:val="20"/>
          <w:lang w:val="en-US" w:eastAsia="zh-CN" w:bidi="ar"/>
        </w:rPr>
        <w:t>The HD-FDD UE shall meet the RRC connection release with redirection requirements provided that SSB is available at the UE once every SMTC period during T</w:t>
      </w:r>
      <w:r>
        <w:rPr>
          <w:rFonts w:hint="default" w:ascii="Times New Roman" w:hAnsi="Times New Roman" w:eastAsia="Times New Roman" w:cs="Times New Roman"/>
          <w:b/>
          <w:bCs/>
          <w:kern w:val="0"/>
          <w:sz w:val="20"/>
          <w:szCs w:val="20"/>
          <w:vertAlign w:val="subscript"/>
          <w:lang w:val="en-US" w:eastAsia="zh-CN" w:bidi="ar"/>
        </w:rPr>
        <w:t>search</w:t>
      </w:r>
      <w:r>
        <w:rPr>
          <w:rFonts w:hint="default" w:ascii="Times New Roman" w:hAnsi="Times New Roman" w:eastAsia="Times New Roman" w:cs="Times New Roman"/>
          <w:b/>
          <w:bCs/>
          <w:kern w:val="0"/>
          <w:sz w:val="20"/>
          <w:szCs w:val="20"/>
          <w:lang w:val="en-US" w:eastAsia="zh-CN" w:bidi="ar"/>
        </w:rPr>
        <w:t>.</w:t>
      </w:r>
    </w:p>
    <w:p>
      <w:pPr>
        <w:numPr>
          <w:ilvl w:val="-1"/>
          <w:numId w:val="0"/>
        </w:numPr>
        <w:spacing w:beforeLines="50" w:after="0" w:afterLines="50"/>
        <w:ind w:left="0" w:firstLine="0"/>
        <w:jc w:val="both"/>
        <w:rPr>
          <w:rFonts w:hint="default" w:eastAsia="宋体"/>
          <w:b/>
          <w:bCs/>
          <w:sz w:val="22"/>
          <w:szCs w:val="22"/>
          <w:lang w:val="en-US" w:eastAsia="zh-CN"/>
        </w:rPr>
      </w:pPr>
      <w:r>
        <w:rPr>
          <w:rFonts w:hint="eastAsia" w:eastAsia="宋体"/>
          <w:b/>
          <w:bCs/>
          <w:sz w:val="22"/>
          <w:szCs w:val="22"/>
          <w:lang w:val="en-US" w:eastAsia="zh-CN"/>
        </w:rPr>
        <w:t>Proposal 6: The legacy random access requirements and related conditions could be maintained for HD-FDD VSAT UEs.</w:t>
      </w:r>
    </w:p>
    <w:p>
      <w:pPr>
        <w:numPr>
          <w:ilvl w:val="-1"/>
          <w:numId w:val="0"/>
        </w:numPr>
        <w:spacing w:beforeLines="50" w:after="0" w:afterLines="50"/>
        <w:ind w:left="0" w:firstLine="0"/>
        <w:jc w:val="both"/>
        <w:rPr>
          <w:rFonts w:hint="eastAsia" w:eastAsia="宋体"/>
          <w:b/>
          <w:bCs/>
          <w:sz w:val="22"/>
          <w:szCs w:val="22"/>
          <w:lang w:val="en-US" w:eastAsia="zh-CN"/>
        </w:rPr>
      </w:pPr>
      <w:r>
        <w:rPr>
          <w:rFonts w:hint="eastAsia" w:eastAsia="宋体"/>
          <w:b/>
          <w:bCs/>
          <w:sz w:val="22"/>
          <w:szCs w:val="22"/>
          <w:lang w:val="en-US" w:eastAsia="zh-CN"/>
        </w:rPr>
        <w:t>Proposal 7: HD-FDD has no impact on UE UL timing accuracy.</w:t>
      </w:r>
    </w:p>
    <w:p>
      <w:pPr>
        <w:numPr>
          <w:ilvl w:val="-1"/>
          <w:numId w:val="0"/>
        </w:numPr>
        <w:spacing w:beforeLines="50" w:after="0" w:afterLines="50"/>
        <w:ind w:left="0" w:firstLine="0"/>
        <w:jc w:val="both"/>
        <w:rPr>
          <w:rFonts w:hint="default" w:eastAsia="宋体"/>
          <w:b/>
          <w:bCs/>
          <w:sz w:val="22"/>
          <w:szCs w:val="22"/>
          <w:lang w:val="en-US" w:eastAsia="zh-CN"/>
        </w:rPr>
      </w:pPr>
      <w:r>
        <w:rPr>
          <w:rFonts w:hint="eastAsia" w:eastAsia="宋体"/>
          <w:b/>
          <w:bCs/>
          <w:sz w:val="22"/>
          <w:szCs w:val="22"/>
          <w:lang w:val="en-US" w:eastAsia="zh-CN"/>
        </w:rPr>
        <w:t>Proposal 8: The legacy scheduling availability for L1 RSRP measurement shall be regarded as baseline.</w:t>
      </w:r>
    </w:p>
    <w:p>
      <w:pPr>
        <w:numPr>
          <w:ilvl w:val="-1"/>
          <w:numId w:val="0"/>
        </w:numPr>
        <w:spacing w:beforeLines="50" w:after="0" w:afterLines="50"/>
        <w:ind w:left="0" w:firstLine="0"/>
        <w:jc w:val="both"/>
        <w:rPr>
          <w:rFonts w:hint="eastAsia"/>
          <w:b/>
          <w:bCs/>
          <w:sz w:val="22"/>
          <w:szCs w:val="16"/>
          <w:lang w:val="en-US" w:eastAsia="zh-CN"/>
        </w:rPr>
      </w:pPr>
      <w:r>
        <w:rPr>
          <w:rFonts w:hint="eastAsia"/>
          <w:b/>
          <w:bCs/>
          <w:sz w:val="22"/>
          <w:szCs w:val="16"/>
          <w:lang w:val="en-US" w:eastAsia="zh-CN"/>
        </w:rPr>
        <w:t>Proposal 9: The legacy FR2-NTN hard and soft satellite switching requirements could be reused with the following conditions:</w:t>
      </w:r>
    </w:p>
    <w:p>
      <w:pPr>
        <w:numPr>
          <w:ilvl w:val="1"/>
          <w:numId w:val="0"/>
        </w:numPr>
        <w:spacing w:beforeLines="50" w:after="0" w:afterLines="50"/>
        <w:ind w:leftChars="100"/>
        <w:jc w:val="both"/>
        <w:rPr>
          <w:rFonts w:hint="default" w:eastAsia="宋体"/>
          <w:b/>
          <w:bCs/>
          <w:sz w:val="22"/>
          <w:szCs w:val="22"/>
          <w:lang w:val="en-US" w:eastAsia="zh-CN"/>
        </w:rPr>
      </w:pPr>
      <w:r>
        <w:rPr>
          <w:rFonts w:hint="default" w:eastAsia="宋体"/>
          <w:b/>
          <w:bCs/>
          <w:sz w:val="22"/>
          <w:szCs w:val="22"/>
          <w:lang w:val="en-US" w:eastAsia="zh-CN"/>
        </w:rPr>
        <w:t>-SSB is available at the UE once every SMTC period during T</w:t>
      </w:r>
      <w:r>
        <w:rPr>
          <w:rFonts w:hint="default" w:eastAsia="宋体"/>
          <w:b/>
          <w:bCs/>
          <w:sz w:val="22"/>
          <w:szCs w:val="22"/>
          <w:vertAlign w:val="subscript"/>
          <w:lang w:val="en-US" w:eastAsia="zh-CN"/>
        </w:rPr>
        <w:t>search</w:t>
      </w:r>
    </w:p>
    <w:p>
      <w:pPr>
        <w:numPr>
          <w:ilvl w:val="1"/>
          <w:numId w:val="0"/>
        </w:numPr>
        <w:spacing w:beforeLines="50" w:after="0" w:afterLines="50"/>
        <w:ind w:leftChars="100"/>
        <w:jc w:val="both"/>
        <w:rPr>
          <w:rFonts w:hint="default" w:eastAsia="宋体"/>
          <w:b/>
          <w:bCs/>
          <w:sz w:val="22"/>
          <w:szCs w:val="22"/>
          <w:lang w:val="en-US" w:eastAsia="zh-CN"/>
        </w:rPr>
      </w:pPr>
      <w:r>
        <w:rPr>
          <w:rFonts w:hint="default" w:eastAsia="宋体"/>
          <w:b/>
          <w:bCs/>
          <w:sz w:val="22"/>
          <w:szCs w:val="22"/>
          <w:lang w:val="en-US" w:eastAsia="zh-CN"/>
        </w:rPr>
        <w:t>-One SSB is available during T</w:t>
      </w:r>
      <w:r>
        <w:rPr>
          <w:rFonts w:hint="default" w:eastAsia="宋体"/>
          <w:b/>
          <w:bCs/>
          <w:sz w:val="22"/>
          <w:szCs w:val="22"/>
          <w:vertAlign w:val="subscript"/>
          <w:lang w:val="en-US" w:eastAsia="zh-CN"/>
        </w:rPr>
        <w:t>∆</w:t>
      </w:r>
    </w:p>
    <w:p>
      <w:pPr>
        <w:numPr>
          <w:ilvl w:val="1"/>
          <w:numId w:val="0"/>
        </w:numPr>
        <w:spacing w:beforeLines="50" w:after="0" w:afterLines="50"/>
        <w:ind w:leftChars="100"/>
        <w:jc w:val="both"/>
        <w:rPr>
          <w:rFonts w:eastAsia="宋体"/>
          <w:lang w:eastAsia="zh-CN"/>
        </w:rPr>
      </w:pPr>
      <w:r>
        <w:rPr>
          <w:rFonts w:hint="default" w:eastAsia="宋体"/>
          <w:b/>
          <w:bCs/>
          <w:sz w:val="22"/>
          <w:szCs w:val="22"/>
          <w:lang w:val="en-US" w:eastAsia="zh-CN"/>
        </w:rPr>
        <w:t>-One SSB is available during T</w:t>
      </w:r>
      <w:r>
        <w:rPr>
          <w:rFonts w:hint="default" w:eastAsia="宋体"/>
          <w:b/>
          <w:bCs/>
          <w:sz w:val="22"/>
          <w:szCs w:val="22"/>
          <w:vertAlign w:val="subscript"/>
          <w:lang w:val="en-US" w:eastAsia="zh-CN"/>
        </w:rPr>
        <w:t>IU</w:t>
      </w:r>
    </w:p>
    <w:p>
      <w:pPr>
        <w:pStyle w:val="78"/>
        <w:numPr>
          <w:ilvl w:val="0"/>
          <w:numId w:val="0"/>
        </w:numPr>
        <w:ind w:left="360" w:hanging="360"/>
        <w:rPr>
          <w:lang w:val="en-US"/>
        </w:rPr>
      </w:pPr>
      <w:r>
        <w:rPr>
          <w:lang w:val="en-US"/>
        </w:rPr>
        <w:t>References</w:t>
      </w:r>
    </w:p>
    <w:p>
      <w:pPr>
        <w:numPr>
          <w:ilvl w:val="0"/>
          <w:numId w:val="11"/>
        </w:numPr>
        <w:rPr>
          <w:lang w:val="en-US" w:eastAsia="zh-CN"/>
        </w:rPr>
      </w:pPr>
      <w:bookmarkStart w:id="2" w:name="_Ref114500673"/>
      <w:bookmarkEnd w:id="2"/>
      <w:r>
        <w:t>RP-2</w:t>
      </w:r>
      <w:r>
        <w:rPr>
          <w:rFonts w:hint="eastAsia" w:eastAsia="宋体"/>
          <w:lang w:val="en-US" w:eastAsia="zh-CN"/>
        </w:rPr>
        <w:t>52958</w:t>
      </w:r>
      <w:r>
        <w:rPr>
          <w:rFonts w:hint="eastAsia"/>
          <w:lang w:eastAsia="zh-CN"/>
        </w:rPr>
        <w:t>,</w:t>
      </w:r>
      <w:r>
        <w:rPr>
          <w:lang w:eastAsia="zh-CN"/>
        </w:rPr>
        <w:t xml:space="preserve"> </w:t>
      </w:r>
      <w:r>
        <w:rPr>
          <w:rFonts w:hint="eastAsia"/>
          <w:lang w:eastAsia="zh-CN"/>
        </w:rPr>
        <w:t xml:space="preserve">WID: </w:t>
      </w:r>
      <w:r>
        <w:rPr>
          <w:rFonts w:hint="eastAsia"/>
          <w:lang w:val="en-US" w:eastAsia="zh-CN"/>
        </w:rPr>
        <w:t>New WID on Enhanced requirements for NR NTN and IoT NTN Phase 2.</w:t>
      </w:r>
    </w:p>
    <w:p>
      <w:pPr>
        <w:numPr>
          <w:ilvl w:val="0"/>
          <w:numId w:val="11"/>
        </w:numPr>
        <w:rPr>
          <w:lang w:val="en-US" w:eastAsia="zh-CN"/>
        </w:rPr>
      </w:pPr>
      <w:r>
        <w:rPr>
          <w:rFonts w:hint="eastAsia"/>
          <w:lang w:val="en-US" w:eastAsia="zh-CN"/>
        </w:rPr>
        <w:t>R4-2515082, WF for [116bis][330] NR_IoT_NTN_Ph2_Part2, Media Tek.</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v4.2.0">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27"/>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0CAC62"/>
    <w:multiLevelType w:val="multilevel"/>
    <w:tmpl w:val="D10CAC62"/>
    <w:lvl w:ilvl="0" w:tentative="0">
      <w:start w:val="1"/>
      <w:numFmt w:val="bullet"/>
      <w:lvlText w:val=""/>
      <w:lvlJc w:val="left"/>
      <w:pPr>
        <w:ind w:left="1200" w:hanging="480"/>
      </w:pPr>
      <w:rPr>
        <w:rFonts w:hint="default" w:ascii="Symbol" w:hAnsi="Symbol" w:cs="Symbol"/>
      </w:rPr>
    </w:lvl>
    <w:lvl w:ilvl="1" w:tentative="0">
      <w:start w:val="1"/>
      <w:numFmt w:val="bullet"/>
      <w:lvlText w:val=""/>
      <w:lvlJc w:val="left"/>
      <w:pPr>
        <w:ind w:left="1680" w:hanging="480"/>
      </w:pPr>
      <w:rPr>
        <w:rFonts w:hint="default" w:ascii="Wingdings" w:hAnsi="Wingdings" w:cs="Wingdings"/>
      </w:rPr>
    </w:lvl>
    <w:lvl w:ilvl="2" w:tentative="0">
      <w:start w:val="1"/>
      <w:numFmt w:val="bullet"/>
      <w:lvlText w:val=""/>
      <w:lvlJc w:val="left"/>
      <w:pPr>
        <w:ind w:left="2160" w:hanging="480"/>
      </w:pPr>
      <w:rPr>
        <w:rFonts w:hint="default" w:ascii="Wingdings" w:hAnsi="Wingdings" w:cs="Wingdings"/>
      </w:rPr>
    </w:lvl>
    <w:lvl w:ilvl="3" w:tentative="0">
      <w:start w:val="1"/>
      <w:numFmt w:val="bullet"/>
      <w:lvlText w:val=""/>
      <w:lvlJc w:val="left"/>
      <w:pPr>
        <w:ind w:left="2640" w:hanging="480"/>
      </w:pPr>
      <w:rPr>
        <w:rFonts w:hint="default" w:ascii="Wingdings" w:hAnsi="Wingdings" w:cs="Wingdings"/>
      </w:rPr>
    </w:lvl>
    <w:lvl w:ilvl="4" w:tentative="0">
      <w:start w:val="1"/>
      <w:numFmt w:val="bullet"/>
      <w:lvlText w:val=""/>
      <w:lvlJc w:val="left"/>
      <w:pPr>
        <w:ind w:left="3120" w:hanging="480"/>
      </w:pPr>
      <w:rPr>
        <w:rFonts w:hint="default" w:ascii="Wingdings" w:hAnsi="Wingdings" w:cs="Wingdings"/>
      </w:rPr>
    </w:lvl>
    <w:lvl w:ilvl="5" w:tentative="0">
      <w:start w:val="1"/>
      <w:numFmt w:val="bullet"/>
      <w:lvlText w:val=""/>
      <w:lvlJc w:val="left"/>
      <w:pPr>
        <w:ind w:left="3600" w:hanging="480"/>
      </w:pPr>
      <w:rPr>
        <w:rFonts w:hint="default" w:ascii="Wingdings" w:hAnsi="Wingdings" w:cs="Wingdings"/>
      </w:rPr>
    </w:lvl>
    <w:lvl w:ilvl="6" w:tentative="0">
      <w:start w:val="1"/>
      <w:numFmt w:val="bullet"/>
      <w:lvlText w:val=""/>
      <w:lvlJc w:val="left"/>
      <w:pPr>
        <w:ind w:left="4080" w:hanging="480"/>
      </w:pPr>
      <w:rPr>
        <w:rFonts w:hint="default" w:ascii="Wingdings" w:hAnsi="Wingdings" w:cs="Wingdings"/>
      </w:rPr>
    </w:lvl>
    <w:lvl w:ilvl="7" w:tentative="0">
      <w:start w:val="1"/>
      <w:numFmt w:val="bullet"/>
      <w:lvlText w:val=""/>
      <w:lvlJc w:val="left"/>
      <w:pPr>
        <w:ind w:left="4560" w:hanging="480"/>
      </w:pPr>
      <w:rPr>
        <w:rFonts w:hint="default" w:ascii="Wingdings" w:hAnsi="Wingdings" w:cs="Wingdings"/>
      </w:rPr>
    </w:lvl>
    <w:lvl w:ilvl="8" w:tentative="0">
      <w:start w:val="1"/>
      <w:numFmt w:val="bullet"/>
      <w:lvlText w:val=""/>
      <w:lvlJc w:val="left"/>
      <w:pPr>
        <w:ind w:left="5040" w:hanging="480"/>
      </w:pPr>
      <w:rPr>
        <w:rFonts w:hint="default" w:ascii="Wingdings" w:hAnsi="Wingdings" w:cs="Wingdings"/>
      </w:rPr>
    </w:lvl>
  </w:abstractNum>
  <w:abstractNum w:abstractNumId="1">
    <w:nsid w:val="D6E562C9"/>
    <w:multiLevelType w:val="singleLevel"/>
    <w:tmpl w:val="D6E562C9"/>
    <w:lvl w:ilvl="0" w:tentative="0">
      <w:start w:val="1"/>
      <w:numFmt w:val="decimal"/>
      <w:suff w:val="space"/>
      <w:lvlText w:val="%1."/>
      <w:lvlJc w:val="left"/>
    </w:lvl>
  </w:abstractNum>
  <w:abstractNum w:abstractNumId="2">
    <w:nsid w:val="2CF95228"/>
    <w:multiLevelType w:val="multilevel"/>
    <w:tmpl w:val="2CF95228"/>
    <w:lvl w:ilvl="0" w:tentative="0">
      <w:start w:val="1"/>
      <w:numFmt w:val="bullet"/>
      <w:lvlText w:val="o"/>
      <w:lvlJc w:val="left"/>
      <w:pPr>
        <w:ind w:left="1200" w:hanging="480"/>
      </w:pPr>
      <w:rPr>
        <w:rFonts w:ascii="Courier New" w:hAnsi="Courier New" w:cs="Courier New"/>
      </w:rPr>
    </w:lvl>
    <w:lvl w:ilvl="1" w:tentative="0">
      <w:start w:val="1"/>
      <w:numFmt w:val="bullet"/>
      <w:lvlText w:val=""/>
      <w:lvlJc w:val="left"/>
      <w:pPr>
        <w:ind w:left="1680" w:hanging="480"/>
      </w:pPr>
      <w:rPr>
        <w:rFonts w:hint="default" w:ascii="Wingdings" w:hAnsi="Wingdings" w:cs="Wingdings"/>
      </w:rPr>
    </w:lvl>
    <w:lvl w:ilvl="2" w:tentative="0">
      <w:start w:val="1"/>
      <w:numFmt w:val="bullet"/>
      <w:lvlText w:val="-"/>
      <w:lvlJc w:val="left"/>
      <w:pPr>
        <w:ind w:left="2160" w:hanging="480"/>
      </w:pPr>
      <w:rPr>
        <w:rFonts w:hint="default" w:ascii="Times New Roman" w:hAnsi="Times New Roman" w:cs="Times New Roman"/>
        <w:lang w:val="en-US"/>
      </w:rPr>
    </w:lvl>
    <w:lvl w:ilvl="3" w:tentative="0">
      <w:start w:val="1"/>
      <w:numFmt w:val="bullet"/>
      <w:lvlText w:val=""/>
      <w:lvlJc w:val="left"/>
      <w:pPr>
        <w:ind w:left="2640" w:hanging="480"/>
      </w:pPr>
      <w:rPr>
        <w:rFonts w:hint="default" w:ascii="Wingdings" w:hAnsi="Wingdings" w:cs="Wingdings"/>
      </w:rPr>
    </w:lvl>
    <w:lvl w:ilvl="4" w:tentative="0">
      <w:start w:val="1"/>
      <w:numFmt w:val="bullet"/>
      <w:lvlText w:val=""/>
      <w:lvlJc w:val="left"/>
      <w:pPr>
        <w:ind w:left="3120" w:hanging="480"/>
      </w:pPr>
      <w:rPr>
        <w:rFonts w:hint="default" w:ascii="Wingdings" w:hAnsi="Wingdings" w:cs="Wingdings"/>
      </w:rPr>
    </w:lvl>
    <w:lvl w:ilvl="5" w:tentative="0">
      <w:start w:val="1"/>
      <w:numFmt w:val="bullet"/>
      <w:lvlText w:val=""/>
      <w:lvlJc w:val="left"/>
      <w:pPr>
        <w:ind w:left="3600" w:hanging="480"/>
      </w:pPr>
      <w:rPr>
        <w:rFonts w:hint="default" w:ascii="Wingdings" w:hAnsi="Wingdings" w:cs="Wingdings"/>
      </w:rPr>
    </w:lvl>
    <w:lvl w:ilvl="6" w:tentative="0">
      <w:start w:val="1"/>
      <w:numFmt w:val="bullet"/>
      <w:lvlText w:val=""/>
      <w:lvlJc w:val="left"/>
      <w:pPr>
        <w:ind w:left="4080" w:hanging="480"/>
      </w:pPr>
      <w:rPr>
        <w:rFonts w:hint="default" w:ascii="Wingdings" w:hAnsi="Wingdings" w:cs="Wingdings"/>
      </w:rPr>
    </w:lvl>
    <w:lvl w:ilvl="7" w:tentative="0">
      <w:start w:val="1"/>
      <w:numFmt w:val="bullet"/>
      <w:lvlText w:val=""/>
      <w:lvlJc w:val="left"/>
      <w:pPr>
        <w:ind w:left="4560" w:hanging="480"/>
      </w:pPr>
      <w:rPr>
        <w:rFonts w:hint="default" w:ascii="Wingdings" w:hAnsi="Wingdings" w:cs="Wingdings"/>
      </w:rPr>
    </w:lvl>
    <w:lvl w:ilvl="8" w:tentative="0">
      <w:start w:val="1"/>
      <w:numFmt w:val="bullet"/>
      <w:lvlText w:val=""/>
      <w:lvlJc w:val="left"/>
      <w:pPr>
        <w:ind w:left="5040" w:hanging="480"/>
      </w:pPr>
      <w:rPr>
        <w:rFonts w:hint="default" w:ascii="Wingdings" w:hAnsi="Wingdings" w:cs="Wingdings"/>
      </w:rPr>
    </w:lvl>
  </w:abstractNum>
  <w:abstractNum w:abstractNumId="3">
    <w:nsid w:val="2F096323"/>
    <w:multiLevelType w:val="multilevel"/>
    <w:tmpl w:val="2F096323"/>
    <w:lvl w:ilvl="0" w:tentative="0">
      <w:start w:val="1"/>
      <w:numFmt w:val="bullet"/>
      <w:lvlText w:val=""/>
      <w:lvlJc w:val="left"/>
      <w:pPr>
        <w:ind w:left="720" w:hanging="360"/>
      </w:pPr>
      <w:rPr>
        <w:rFonts w:ascii="Symbol" w:hAnsi="Symbol" w:cs="Symbol"/>
        <w:lang w:val="en-US"/>
      </w:rPr>
    </w:lvl>
    <w:lvl w:ilvl="1" w:tentative="0">
      <w:start w:val="1"/>
      <w:numFmt w:val="bullet"/>
      <w:lvlText w:val=""/>
      <w:lvlJc w:val="left"/>
      <w:pPr>
        <w:ind w:left="1440" w:hanging="360"/>
      </w:pPr>
      <w:rPr>
        <w:rFonts w:hint="default" w:ascii="Symbol" w:hAnsi="Symbol" w:cs="Symbol"/>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Wingdings" w:hAnsi="Wingdings" w:cs="Wingdings"/>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413C6F8A"/>
    <w:multiLevelType w:val="multilevel"/>
    <w:tmpl w:val="413C6F8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D6E3167"/>
    <w:multiLevelType w:val="multilevel"/>
    <w:tmpl w:val="4D6E3167"/>
    <w:lvl w:ilvl="0" w:tentative="0">
      <w:start w:val="1"/>
      <w:numFmt w:val="decimal"/>
      <w:pStyle w:val="81"/>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6">
    <w:nsid w:val="5ADC741A"/>
    <w:multiLevelType w:val="multilevel"/>
    <w:tmpl w:val="5ADC741A"/>
    <w:lvl w:ilvl="0" w:tentative="0">
      <w:start w:val="2022"/>
      <w:numFmt w:val="bullet"/>
      <w:lvlText w:val="-"/>
      <w:lvlJc w:val="left"/>
      <w:pPr>
        <w:ind w:left="460" w:hanging="360"/>
      </w:pPr>
      <w:rPr>
        <w:rFonts w:ascii="Arial" w:hAnsi="Arial" w:eastAsia="Malgun Gothic" w:cs="Arial"/>
      </w:rPr>
    </w:lvl>
    <w:lvl w:ilvl="1" w:tentative="0">
      <w:start w:val="1"/>
      <w:numFmt w:val="bullet"/>
      <w:lvlText w:val=""/>
      <w:lvlJc w:val="left"/>
      <w:pPr>
        <w:ind w:left="940" w:hanging="420"/>
      </w:pPr>
      <w:rPr>
        <w:rFonts w:hint="default" w:ascii="Wingdings" w:hAnsi="Wingdings" w:cs="Wingdings"/>
      </w:rPr>
    </w:lvl>
    <w:lvl w:ilvl="2" w:tentative="0">
      <w:start w:val="1"/>
      <w:numFmt w:val="bullet"/>
      <w:lvlText w:val=""/>
      <w:lvlJc w:val="left"/>
      <w:pPr>
        <w:ind w:left="1360" w:hanging="420"/>
      </w:pPr>
      <w:rPr>
        <w:rFonts w:hint="default" w:ascii="Wingdings" w:hAnsi="Wingdings" w:cs="Wingdings"/>
      </w:rPr>
    </w:lvl>
    <w:lvl w:ilvl="3" w:tentative="0">
      <w:start w:val="1"/>
      <w:numFmt w:val="bullet"/>
      <w:lvlText w:val=""/>
      <w:lvlJc w:val="left"/>
      <w:pPr>
        <w:ind w:left="1780" w:hanging="420"/>
      </w:pPr>
      <w:rPr>
        <w:rFonts w:hint="default" w:ascii="Wingdings" w:hAnsi="Wingdings" w:cs="Wingdings"/>
      </w:rPr>
    </w:lvl>
    <w:lvl w:ilvl="4" w:tentative="0">
      <w:start w:val="1"/>
      <w:numFmt w:val="bullet"/>
      <w:lvlText w:val=""/>
      <w:lvlJc w:val="left"/>
      <w:pPr>
        <w:ind w:left="2200" w:hanging="420"/>
      </w:pPr>
      <w:rPr>
        <w:rFonts w:hint="default" w:ascii="Wingdings" w:hAnsi="Wingdings" w:cs="Wingdings"/>
      </w:rPr>
    </w:lvl>
    <w:lvl w:ilvl="5" w:tentative="0">
      <w:start w:val="1"/>
      <w:numFmt w:val="bullet"/>
      <w:lvlText w:val=""/>
      <w:lvlJc w:val="left"/>
      <w:pPr>
        <w:ind w:left="2620" w:hanging="420"/>
      </w:pPr>
      <w:rPr>
        <w:rFonts w:hint="default" w:ascii="Wingdings" w:hAnsi="Wingdings" w:cs="Wingdings"/>
      </w:rPr>
    </w:lvl>
    <w:lvl w:ilvl="6" w:tentative="0">
      <w:start w:val="1"/>
      <w:numFmt w:val="bullet"/>
      <w:lvlText w:val=""/>
      <w:lvlJc w:val="left"/>
      <w:pPr>
        <w:ind w:left="3040" w:hanging="420"/>
      </w:pPr>
      <w:rPr>
        <w:rFonts w:hint="default" w:ascii="Wingdings" w:hAnsi="Wingdings" w:cs="Wingdings"/>
      </w:rPr>
    </w:lvl>
    <w:lvl w:ilvl="7" w:tentative="0">
      <w:start w:val="1"/>
      <w:numFmt w:val="bullet"/>
      <w:lvlText w:val=""/>
      <w:lvlJc w:val="left"/>
      <w:pPr>
        <w:ind w:left="3460" w:hanging="420"/>
      </w:pPr>
      <w:rPr>
        <w:rFonts w:hint="default" w:ascii="Wingdings" w:hAnsi="Wingdings" w:cs="Wingdings"/>
      </w:rPr>
    </w:lvl>
    <w:lvl w:ilvl="8" w:tentative="0">
      <w:start w:val="1"/>
      <w:numFmt w:val="bullet"/>
      <w:lvlText w:val=""/>
      <w:lvlJc w:val="left"/>
      <w:pPr>
        <w:ind w:left="3880" w:hanging="420"/>
      </w:pPr>
      <w:rPr>
        <w:rFonts w:hint="default" w:ascii="Wingdings" w:hAnsi="Wingdings" w:cs="Wingdings"/>
      </w:rPr>
    </w:lvl>
  </w:abstractNum>
  <w:abstractNum w:abstractNumId="7">
    <w:nsid w:val="5E257BA1"/>
    <w:multiLevelType w:val="multilevel"/>
    <w:tmpl w:val="5E257BA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160" w:hanging="360"/>
      </w:pPr>
      <w:rPr>
        <w:rFonts w:hint="default" w:ascii="Times New Roman" w:hAnsi="Times New Roman" w:eastAsia="宋体" w:cs="Times New Roman"/>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65C217B"/>
    <w:multiLevelType w:val="multilevel"/>
    <w:tmpl w:val="665C217B"/>
    <w:lvl w:ilvl="0" w:tentative="0">
      <w:start w:val="1"/>
      <w:numFmt w:val="decimal"/>
      <w:pStyle w:val="78"/>
      <w:lvlText w:val="%1"/>
      <w:lvlJc w:val="left"/>
      <w:pPr>
        <w:ind w:left="360" w:hanging="360"/>
      </w:pPr>
      <w:rPr>
        <w:rFonts w:hint="default"/>
      </w:rPr>
    </w:lvl>
    <w:lvl w:ilvl="1" w:tentative="0">
      <w:start w:val="1"/>
      <w:numFmt w:val="decimal"/>
      <w:pStyle w:val="80"/>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9">
    <w:nsid w:val="6FF9DC81"/>
    <w:multiLevelType w:val="singleLevel"/>
    <w:tmpl w:val="6FF9DC81"/>
    <w:lvl w:ilvl="0" w:tentative="0">
      <w:start w:val="1"/>
      <w:numFmt w:val="decimal"/>
      <w:suff w:val="space"/>
      <w:lvlText w:val="[%1]"/>
      <w:lvlJc w:val="left"/>
    </w:lvl>
  </w:abstractNum>
  <w:abstractNum w:abstractNumId="10">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8"/>
  </w:num>
  <w:num w:numId="2">
    <w:abstractNumId w:val="5"/>
  </w:num>
  <w:num w:numId="3">
    <w:abstractNumId w:val="0"/>
  </w:num>
  <w:num w:numId="4">
    <w:abstractNumId w:val="2"/>
  </w:num>
  <w:num w:numId="5">
    <w:abstractNumId w:val="3"/>
  </w:num>
  <w:num w:numId="6">
    <w:abstractNumId w:val="7"/>
  </w:num>
  <w:num w:numId="7">
    <w:abstractNumId w:val="1"/>
  </w:num>
  <w:num w:numId="8">
    <w:abstractNumId w:val="10"/>
  </w:num>
  <w:num w:numId="9">
    <w:abstractNumId w:val="6"/>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2A30"/>
    <w:rsid w:val="000455F6"/>
    <w:rsid w:val="00051834"/>
    <w:rsid w:val="00053D34"/>
    <w:rsid w:val="00054A22"/>
    <w:rsid w:val="00056A26"/>
    <w:rsid w:val="00062023"/>
    <w:rsid w:val="000655A6"/>
    <w:rsid w:val="00080512"/>
    <w:rsid w:val="000920BE"/>
    <w:rsid w:val="000A574E"/>
    <w:rsid w:val="000C47C3"/>
    <w:rsid w:val="000D58AB"/>
    <w:rsid w:val="0011507D"/>
    <w:rsid w:val="00125F5F"/>
    <w:rsid w:val="00133525"/>
    <w:rsid w:val="00134965"/>
    <w:rsid w:val="00146E09"/>
    <w:rsid w:val="00161D11"/>
    <w:rsid w:val="00167FF6"/>
    <w:rsid w:val="00183B9E"/>
    <w:rsid w:val="001A1328"/>
    <w:rsid w:val="001A4C42"/>
    <w:rsid w:val="001A7420"/>
    <w:rsid w:val="001B214E"/>
    <w:rsid w:val="001B6637"/>
    <w:rsid w:val="001C21C3"/>
    <w:rsid w:val="001D02C2"/>
    <w:rsid w:val="001E3EEB"/>
    <w:rsid w:val="001F0C1D"/>
    <w:rsid w:val="001F1132"/>
    <w:rsid w:val="001F168B"/>
    <w:rsid w:val="002047B8"/>
    <w:rsid w:val="0021140F"/>
    <w:rsid w:val="00212ECC"/>
    <w:rsid w:val="002171EE"/>
    <w:rsid w:val="002347A2"/>
    <w:rsid w:val="0026729B"/>
    <w:rsid w:val="002675F0"/>
    <w:rsid w:val="00267BF5"/>
    <w:rsid w:val="00274F36"/>
    <w:rsid w:val="00275DC2"/>
    <w:rsid w:val="002840A1"/>
    <w:rsid w:val="002A4229"/>
    <w:rsid w:val="002B0E33"/>
    <w:rsid w:val="002B1738"/>
    <w:rsid w:val="002B6339"/>
    <w:rsid w:val="002E00EE"/>
    <w:rsid w:val="002F6EEF"/>
    <w:rsid w:val="00301EAD"/>
    <w:rsid w:val="003172DC"/>
    <w:rsid w:val="00320BE2"/>
    <w:rsid w:val="00332E1A"/>
    <w:rsid w:val="0033338C"/>
    <w:rsid w:val="00344AD1"/>
    <w:rsid w:val="0035462D"/>
    <w:rsid w:val="00361FF5"/>
    <w:rsid w:val="00372470"/>
    <w:rsid w:val="0037640E"/>
    <w:rsid w:val="003765B8"/>
    <w:rsid w:val="00380AC0"/>
    <w:rsid w:val="00384CDA"/>
    <w:rsid w:val="00392F34"/>
    <w:rsid w:val="003A71A1"/>
    <w:rsid w:val="003C3971"/>
    <w:rsid w:val="003D429A"/>
    <w:rsid w:val="004108F3"/>
    <w:rsid w:val="00411E9C"/>
    <w:rsid w:val="004148C8"/>
    <w:rsid w:val="00415A92"/>
    <w:rsid w:val="00423334"/>
    <w:rsid w:val="004248BA"/>
    <w:rsid w:val="004265D5"/>
    <w:rsid w:val="004345EC"/>
    <w:rsid w:val="00442C1F"/>
    <w:rsid w:val="0044364B"/>
    <w:rsid w:val="00454360"/>
    <w:rsid w:val="00455F06"/>
    <w:rsid w:val="00465515"/>
    <w:rsid w:val="004929E3"/>
    <w:rsid w:val="00494119"/>
    <w:rsid w:val="004A3133"/>
    <w:rsid w:val="004A5EEB"/>
    <w:rsid w:val="004A7139"/>
    <w:rsid w:val="004B1CC7"/>
    <w:rsid w:val="004B2A74"/>
    <w:rsid w:val="004C61CE"/>
    <w:rsid w:val="004D099F"/>
    <w:rsid w:val="004D3578"/>
    <w:rsid w:val="004E213A"/>
    <w:rsid w:val="004E2D72"/>
    <w:rsid w:val="004F0988"/>
    <w:rsid w:val="004F3340"/>
    <w:rsid w:val="00504DF6"/>
    <w:rsid w:val="0051339D"/>
    <w:rsid w:val="00526990"/>
    <w:rsid w:val="00531908"/>
    <w:rsid w:val="0053388B"/>
    <w:rsid w:val="00535773"/>
    <w:rsid w:val="00543E6C"/>
    <w:rsid w:val="00543F14"/>
    <w:rsid w:val="00546D44"/>
    <w:rsid w:val="0056254B"/>
    <w:rsid w:val="00565087"/>
    <w:rsid w:val="005671FF"/>
    <w:rsid w:val="0057305F"/>
    <w:rsid w:val="00586E2E"/>
    <w:rsid w:val="00594253"/>
    <w:rsid w:val="00597B11"/>
    <w:rsid w:val="005A1372"/>
    <w:rsid w:val="005D2E01"/>
    <w:rsid w:val="005D7526"/>
    <w:rsid w:val="005E4BB2"/>
    <w:rsid w:val="00602AEA"/>
    <w:rsid w:val="00614FDF"/>
    <w:rsid w:val="00625473"/>
    <w:rsid w:val="006317FE"/>
    <w:rsid w:val="00631B7B"/>
    <w:rsid w:val="0063543D"/>
    <w:rsid w:val="0063585B"/>
    <w:rsid w:val="00647114"/>
    <w:rsid w:val="00663517"/>
    <w:rsid w:val="00682CCA"/>
    <w:rsid w:val="00695191"/>
    <w:rsid w:val="006A323F"/>
    <w:rsid w:val="006A6F17"/>
    <w:rsid w:val="006B30D0"/>
    <w:rsid w:val="006B63DD"/>
    <w:rsid w:val="006C1584"/>
    <w:rsid w:val="006C3D95"/>
    <w:rsid w:val="006E5C86"/>
    <w:rsid w:val="006E7071"/>
    <w:rsid w:val="006F61D7"/>
    <w:rsid w:val="00701116"/>
    <w:rsid w:val="00713C44"/>
    <w:rsid w:val="00734A5B"/>
    <w:rsid w:val="0074026F"/>
    <w:rsid w:val="007429F6"/>
    <w:rsid w:val="00743C79"/>
    <w:rsid w:val="00744E76"/>
    <w:rsid w:val="00761FC7"/>
    <w:rsid w:val="00771165"/>
    <w:rsid w:val="00774DA4"/>
    <w:rsid w:val="00781F0F"/>
    <w:rsid w:val="00791EC5"/>
    <w:rsid w:val="007928CB"/>
    <w:rsid w:val="007A7AA8"/>
    <w:rsid w:val="007B600E"/>
    <w:rsid w:val="007D5031"/>
    <w:rsid w:val="007F0F4A"/>
    <w:rsid w:val="008028A4"/>
    <w:rsid w:val="00827C6D"/>
    <w:rsid w:val="00830747"/>
    <w:rsid w:val="00835BDD"/>
    <w:rsid w:val="0083684A"/>
    <w:rsid w:val="008768CA"/>
    <w:rsid w:val="00885367"/>
    <w:rsid w:val="008A6463"/>
    <w:rsid w:val="008B61CF"/>
    <w:rsid w:val="008C384C"/>
    <w:rsid w:val="008F431E"/>
    <w:rsid w:val="0090271F"/>
    <w:rsid w:val="00902E23"/>
    <w:rsid w:val="009114D7"/>
    <w:rsid w:val="0091348E"/>
    <w:rsid w:val="00917CCB"/>
    <w:rsid w:val="00926A61"/>
    <w:rsid w:val="00933F69"/>
    <w:rsid w:val="00942EC2"/>
    <w:rsid w:val="00947CF8"/>
    <w:rsid w:val="009516DC"/>
    <w:rsid w:val="00961F49"/>
    <w:rsid w:val="00973023"/>
    <w:rsid w:val="0098113E"/>
    <w:rsid w:val="00983685"/>
    <w:rsid w:val="00985F99"/>
    <w:rsid w:val="009879FD"/>
    <w:rsid w:val="009A3179"/>
    <w:rsid w:val="009B011C"/>
    <w:rsid w:val="009B50F6"/>
    <w:rsid w:val="009C3E5A"/>
    <w:rsid w:val="009F37B7"/>
    <w:rsid w:val="00A07626"/>
    <w:rsid w:val="00A10F02"/>
    <w:rsid w:val="00A164B4"/>
    <w:rsid w:val="00A23193"/>
    <w:rsid w:val="00A244F7"/>
    <w:rsid w:val="00A26956"/>
    <w:rsid w:val="00A27486"/>
    <w:rsid w:val="00A53724"/>
    <w:rsid w:val="00A56066"/>
    <w:rsid w:val="00A6691C"/>
    <w:rsid w:val="00A73129"/>
    <w:rsid w:val="00A82346"/>
    <w:rsid w:val="00A82AAA"/>
    <w:rsid w:val="00A91253"/>
    <w:rsid w:val="00A92BA1"/>
    <w:rsid w:val="00A95C70"/>
    <w:rsid w:val="00A962A2"/>
    <w:rsid w:val="00AC3612"/>
    <w:rsid w:val="00AC6BC6"/>
    <w:rsid w:val="00AD1CB4"/>
    <w:rsid w:val="00AD6FA4"/>
    <w:rsid w:val="00AE65E2"/>
    <w:rsid w:val="00AF356F"/>
    <w:rsid w:val="00AF7F27"/>
    <w:rsid w:val="00B102AB"/>
    <w:rsid w:val="00B15449"/>
    <w:rsid w:val="00B20B26"/>
    <w:rsid w:val="00B30A36"/>
    <w:rsid w:val="00B55938"/>
    <w:rsid w:val="00B66345"/>
    <w:rsid w:val="00B66DD7"/>
    <w:rsid w:val="00B67352"/>
    <w:rsid w:val="00B71554"/>
    <w:rsid w:val="00B81824"/>
    <w:rsid w:val="00B919A0"/>
    <w:rsid w:val="00B93086"/>
    <w:rsid w:val="00B93FB3"/>
    <w:rsid w:val="00BA19ED"/>
    <w:rsid w:val="00BA4B8D"/>
    <w:rsid w:val="00BB52C2"/>
    <w:rsid w:val="00BB74F2"/>
    <w:rsid w:val="00BC0519"/>
    <w:rsid w:val="00BC0F7D"/>
    <w:rsid w:val="00BD01BD"/>
    <w:rsid w:val="00BD47EB"/>
    <w:rsid w:val="00BD7D31"/>
    <w:rsid w:val="00BE26B7"/>
    <w:rsid w:val="00BE3255"/>
    <w:rsid w:val="00BE3956"/>
    <w:rsid w:val="00BF128E"/>
    <w:rsid w:val="00C074DD"/>
    <w:rsid w:val="00C1496A"/>
    <w:rsid w:val="00C2294F"/>
    <w:rsid w:val="00C24F65"/>
    <w:rsid w:val="00C33079"/>
    <w:rsid w:val="00C41F2A"/>
    <w:rsid w:val="00C45231"/>
    <w:rsid w:val="00C64505"/>
    <w:rsid w:val="00C72833"/>
    <w:rsid w:val="00C80F1D"/>
    <w:rsid w:val="00C93F40"/>
    <w:rsid w:val="00CA0860"/>
    <w:rsid w:val="00CA3D0C"/>
    <w:rsid w:val="00CB0749"/>
    <w:rsid w:val="00CC4BC3"/>
    <w:rsid w:val="00CD2E3D"/>
    <w:rsid w:val="00D12A57"/>
    <w:rsid w:val="00D22FFA"/>
    <w:rsid w:val="00D24228"/>
    <w:rsid w:val="00D31FBD"/>
    <w:rsid w:val="00D544DE"/>
    <w:rsid w:val="00D57972"/>
    <w:rsid w:val="00D6299F"/>
    <w:rsid w:val="00D62BC5"/>
    <w:rsid w:val="00D675A9"/>
    <w:rsid w:val="00D738D6"/>
    <w:rsid w:val="00D755EB"/>
    <w:rsid w:val="00D75806"/>
    <w:rsid w:val="00D76048"/>
    <w:rsid w:val="00D77E2A"/>
    <w:rsid w:val="00D81903"/>
    <w:rsid w:val="00D87E00"/>
    <w:rsid w:val="00D9134D"/>
    <w:rsid w:val="00D91BEF"/>
    <w:rsid w:val="00DA7A03"/>
    <w:rsid w:val="00DB1818"/>
    <w:rsid w:val="00DB3085"/>
    <w:rsid w:val="00DB4D16"/>
    <w:rsid w:val="00DC309B"/>
    <w:rsid w:val="00DC4DA2"/>
    <w:rsid w:val="00DD09DD"/>
    <w:rsid w:val="00DD4C17"/>
    <w:rsid w:val="00DD6CF8"/>
    <w:rsid w:val="00DD74A5"/>
    <w:rsid w:val="00DE013F"/>
    <w:rsid w:val="00DF0B1E"/>
    <w:rsid w:val="00DF2B1F"/>
    <w:rsid w:val="00DF62CD"/>
    <w:rsid w:val="00E0405E"/>
    <w:rsid w:val="00E16509"/>
    <w:rsid w:val="00E443F9"/>
    <w:rsid w:val="00E44582"/>
    <w:rsid w:val="00E77645"/>
    <w:rsid w:val="00E82959"/>
    <w:rsid w:val="00E94B0B"/>
    <w:rsid w:val="00E9554B"/>
    <w:rsid w:val="00EA15B0"/>
    <w:rsid w:val="00EA5EA7"/>
    <w:rsid w:val="00EB3EA8"/>
    <w:rsid w:val="00EC0C20"/>
    <w:rsid w:val="00EC4A25"/>
    <w:rsid w:val="00ED3784"/>
    <w:rsid w:val="00ED57A0"/>
    <w:rsid w:val="00EF13CA"/>
    <w:rsid w:val="00F025A2"/>
    <w:rsid w:val="00F04712"/>
    <w:rsid w:val="00F05FF4"/>
    <w:rsid w:val="00F13360"/>
    <w:rsid w:val="00F22150"/>
    <w:rsid w:val="00F22EC7"/>
    <w:rsid w:val="00F267D9"/>
    <w:rsid w:val="00F325C8"/>
    <w:rsid w:val="00F364F1"/>
    <w:rsid w:val="00F51ED0"/>
    <w:rsid w:val="00F54FD6"/>
    <w:rsid w:val="00F653B8"/>
    <w:rsid w:val="00F669DA"/>
    <w:rsid w:val="00F76708"/>
    <w:rsid w:val="00F80895"/>
    <w:rsid w:val="00F9008D"/>
    <w:rsid w:val="00F93E9C"/>
    <w:rsid w:val="00FA1025"/>
    <w:rsid w:val="00FA1266"/>
    <w:rsid w:val="00FA4E78"/>
    <w:rsid w:val="00FB3752"/>
    <w:rsid w:val="00FB7892"/>
    <w:rsid w:val="00FC1192"/>
    <w:rsid w:val="010C5DD9"/>
    <w:rsid w:val="01117C8D"/>
    <w:rsid w:val="011629BA"/>
    <w:rsid w:val="011D465F"/>
    <w:rsid w:val="01295F0D"/>
    <w:rsid w:val="01410DC2"/>
    <w:rsid w:val="014C0733"/>
    <w:rsid w:val="014F609F"/>
    <w:rsid w:val="01511039"/>
    <w:rsid w:val="01536085"/>
    <w:rsid w:val="0158163D"/>
    <w:rsid w:val="01590644"/>
    <w:rsid w:val="015E5540"/>
    <w:rsid w:val="01622683"/>
    <w:rsid w:val="01652E48"/>
    <w:rsid w:val="018C65C9"/>
    <w:rsid w:val="018F1743"/>
    <w:rsid w:val="018F25C8"/>
    <w:rsid w:val="01906A5B"/>
    <w:rsid w:val="01907C39"/>
    <w:rsid w:val="019A7C22"/>
    <w:rsid w:val="01A050D6"/>
    <w:rsid w:val="01BF1FED"/>
    <w:rsid w:val="01BF37C7"/>
    <w:rsid w:val="01CB4B95"/>
    <w:rsid w:val="01D1338A"/>
    <w:rsid w:val="01D137ED"/>
    <w:rsid w:val="01D311BB"/>
    <w:rsid w:val="01D31F25"/>
    <w:rsid w:val="01E70C97"/>
    <w:rsid w:val="01EA15CF"/>
    <w:rsid w:val="020172F7"/>
    <w:rsid w:val="020B0ECC"/>
    <w:rsid w:val="021E0E45"/>
    <w:rsid w:val="02247376"/>
    <w:rsid w:val="022502F6"/>
    <w:rsid w:val="0227513D"/>
    <w:rsid w:val="023A64A7"/>
    <w:rsid w:val="02402E7C"/>
    <w:rsid w:val="024205C1"/>
    <w:rsid w:val="02505886"/>
    <w:rsid w:val="026539B9"/>
    <w:rsid w:val="02667EA7"/>
    <w:rsid w:val="02730900"/>
    <w:rsid w:val="027F2CA3"/>
    <w:rsid w:val="029011A2"/>
    <w:rsid w:val="029119C5"/>
    <w:rsid w:val="02921645"/>
    <w:rsid w:val="02990F0B"/>
    <w:rsid w:val="029C2FAD"/>
    <w:rsid w:val="02A03627"/>
    <w:rsid w:val="02A3214A"/>
    <w:rsid w:val="02A602E6"/>
    <w:rsid w:val="02AE5D6F"/>
    <w:rsid w:val="02BB37DF"/>
    <w:rsid w:val="02BD4751"/>
    <w:rsid w:val="02BF71C9"/>
    <w:rsid w:val="02DB4554"/>
    <w:rsid w:val="02EC4357"/>
    <w:rsid w:val="02EE768C"/>
    <w:rsid w:val="02F8362B"/>
    <w:rsid w:val="02FA1082"/>
    <w:rsid w:val="03105CC9"/>
    <w:rsid w:val="031778E0"/>
    <w:rsid w:val="0327096F"/>
    <w:rsid w:val="032A315A"/>
    <w:rsid w:val="03481CC2"/>
    <w:rsid w:val="034C0EF4"/>
    <w:rsid w:val="034E163D"/>
    <w:rsid w:val="034F527C"/>
    <w:rsid w:val="03593570"/>
    <w:rsid w:val="03595B8B"/>
    <w:rsid w:val="035D5426"/>
    <w:rsid w:val="035E7A94"/>
    <w:rsid w:val="036402D1"/>
    <w:rsid w:val="037A1871"/>
    <w:rsid w:val="038E7FF3"/>
    <w:rsid w:val="03981C19"/>
    <w:rsid w:val="03983AC0"/>
    <w:rsid w:val="039A3262"/>
    <w:rsid w:val="03A1038B"/>
    <w:rsid w:val="03B3498A"/>
    <w:rsid w:val="03BA3762"/>
    <w:rsid w:val="03BD58AF"/>
    <w:rsid w:val="03BF3D9F"/>
    <w:rsid w:val="03C33CF4"/>
    <w:rsid w:val="03C80AD2"/>
    <w:rsid w:val="03C95263"/>
    <w:rsid w:val="03D31FB0"/>
    <w:rsid w:val="03EF3B00"/>
    <w:rsid w:val="03F0584F"/>
    <w:rsid w:val="03F27EC0"/>
    <w:rsid w:val="03FB5627"/>
    <w:rsid w:val="03FE411B"/>
    <w:rsid w:val="04076F95"/>
    <w:rsid w:val="040E43A3"/>
    <w:rsid w:val="041C7AF3"/>
    <w:rsid w:val="04242812"/>
    <w:rsid w:val="04383CC9"/>
    <w:rsid w:val="043B0C6C"/>
    <w:rsid w:val="043B1FC0"/>
    <w:rsid w:val="043C7FF8"/>
    <w:rsid w:val="043F61B8"/>
    <w:rsid w:val="04421BA4"/>
    <w:rsid w:val="04455C06"/>
    <w:rsid w:val="044B12E0"/>
    <w:rsid w:val="045A78A6"/>
    <w:rsid w:val="045E041F"/>
    <w:rsid w:val="045E69C5"/>
    <w:rsid w:val="046301A2"/>
    <w:rsid w:val="046571DF"/>
    <w:rsid w:val="046D095B"/>
    <w:rsid w:val="046E445B"/>
    <w:rsid w:val="04727A0B"/>
    <w:rsid w:val="04732FB8"/>
    <w:rsid w:val="047A5043"/>
    <w:rsid w:val="04871DE8"/>
    <w:rsid w:val="048F6485"/>
    <w:rsid w:val="04A12403"/>
    <w:rsid w:val="04A45BAD"/>
    <w:rsid w:val="04A815F7"/>
    <w:rsid w:val="04A81A71"/>
    <w:rsid w:val="04A96583"/>
    <w:rsid w:val="04AD06A4"/>
    <w:rsid w:val="04B4083F"/>
    <w:rsid w:val="04BD1E3A"/>
    <w:rsid w:val="04CC624B"/>
    <w:rsid w:val="04DA6B4D"/>
    <w:rsid w:val="04EC5C54"/>
    <w:rsid w:val="04EF7AAD"/>
    <w:rsid w:val="04F0022B"/>
    <w:rsid w:val="050C7718"/>
    <w:rsid w:val="0521288B"/>
    <w:rsid w:val="05214F03"/>
    <w:rsid w:val="05386908"/>
    <w:rsid w:val="053F6A98"/>
    <w:rsid w:val="055213B0"/>
    <w:rsid w:val="0555772A"/>
    <w:rsid w:val="055E02FB"/>
    <w:rsid w:val="055E4EBB"/>
    <w:rsid w:val="056A3BE2"/>
    <w:rsid w:val="057E42D0"/>
    <w:rsid w:val="058840C4"/>
    <w:rsid w:val="0593613D"/>
    <w:rsid w:val="05AE2916"/>
    <w:rsid w:val="05AF75D8"/>
    <w:rsid w:val="05B105BF"/>
    <w:rsid w:val="05B1379B"/>
    <w:rsid w:val="05BB22A4"/>
    <w:rsid w:val="05C6466C"/>
    <w:rsid w:val="05CA02F3"/>
    <w:rsid w:val="05CE66DD"/>
    <w:rsid w:val="05D83453"/>
    <w:rsid w:val="05DB67C3"/>
    <w:rsid w:val="05DE172A"/>
    <w:rsid w:val="05E23036"/>
    <w:rsid w:val="05E5299E"/>
    <w:rsid w:val="05E84F40"/>
    <w:rsid w:val="05ED6DB4"/>
    <w:rsid w:val="05F02736"/>
    <w:rsid w:val="05F24812"/>
    <w:rsid w:val="05FC3F93"/>
    <w:rsid w:val="06026AB1"/>
    <w:rsid w:val="06090B03"/>
    <w:rsid w:val="060A6960"/>
    <w:rsid w:val="060D0D66"/>
    <w:rsid w:val="0622111A"/>
    <w:rsid w:val="062C2061"/>
    <w:rsid w:val="06304C93"/>
    <w:rsid w:val="06311BAC"/>
    <w:rsid w:val="064674D8"/>
    <w:rsid w:val="065345F9"/>
    <w:rsid w:val="0659050C"/>
    <w:rsid w:val="06660473"/>
    <w:rsid w:val="0666512D"/>
    <w:rsid w:val="06692E75"/>
    <w:rsid w:val="067C67DB"/>
    <w:rsid w:val="068158A4"/>
    <w:rsid w:val="06895B05"/>
    <w:rsid w:val="068A15DB"/>
    <w:rsid w:val="068C79BF"/>
    <w:rsid w:val="068E6EF2"/>
    <w:rsid w:val="069071A1"/>
    <w:rsid w:val="06910540"/>
    <w:rsid w:val="06916ADD"/>
    <w:rsid w:val="0695635D"/>
    <w:rsid w:val="06CA4E47"/>
    <w:rsid w:val="06D870D9"/>
    <w:rsid w:val="06E6018A"/>
    <w:rsid w:val="06E645CC"/>
    <w:rsid w:val="06F45A64"/>
    <w:rsid w:val="07007517"/>
    <w:rsid w:val="07073FA3"/>
    <w:rsid w:val="07095017"/>
    <w:rsid w:val="07171EC2"/>
    <w:rsid w:val="0726771F"/>
    <w:rsid w:val="072B7F76"/>
    <w:rsid w:val="072D67AD"/>
    <w:rsid w:val="072E4FBA"/>
    <w:rsid w:val="072F7FC6"/>
    <w:rsid w:val="0732584E"/>
    <w:rsid w:val="07367B89"/>
    <w:rsid w:val="07390858"/>
    <w:rsid w:val="073F724E"/>
    <w:rsid w:val="074A627C"/>
    <w:rsid w:val="07512B15"/>
    <w:rsid w:val="07514512"/>
    <w:rsid w:val="075A7EF6"/>
    <w:rsid w:val="076202A2"/>
    <w:rsid w:val="07653481"/>
    <w:rsid w:val="07666F25"/>
    <w:rsid w:val="076A2A73"/>
    <w:rsid w:val="076F7D7E"/>
    <w:rsid w:val="07743A15"/>
    <w:rsid w:val="077820A7"/>
    <w:rsid w:val="07994C0A"/>
    <w:rsid w:val="07A50AFC"/>
    <w:rsid w:val="07AA7EA9"/>
    <w:rsid w:val="07AE506C"/>
    <w:rsid w:val="07C22AAD"/>
    <w:rsid w:val="07C3764D"/>
    <w:rsid w:val="07C62928"/>
    <w:rsid w:val="07C7208E"/>
    <w:rsid w:val="07D3662C"/>
    <w:rsid w:val="07D94F88"/>
    <w:rsid w:val="07E268EA"/>
    <w:rsid w:val="07F66AC5"/>
    <w:rsid w:val="07FF6240"/>
    <w:rsid w:val="080D0A67"/>
    <w:rsid w:val="081F449B"/>
    <w:rsid w:val="08231A9D"/>
    <w:rsid w:val="082A0972"/>
    <w:rsid w:val="082E78FB"/>
    <w:rsid w:val="08336294"/>
    <w:rsid w:val="0833764C"/>
    <w:rsid w:val="08380F8C"/>
    <w:rsid w:val="083B4078"/>
    <w:rsid w:val="08420A81"/>
    <w:rsid w:val="084677D5"/>
    <w:rsid w:val="0848005E"/>
    <w:rsid w:val="084B1A9E"/>
    <w:rsid w:val="084C657D"/>
    <w:rsid w:val="084D12F0"/>
    <w:rsid w:val="084F7150"/>
    <w:rsid w:val="086F3665"/>
    <w:rsid w:val="0876437B"/>
    <w:rsid w:val="087B6B61"/>
    <w:rsid w:val="087E40F9"/>
    <w:rsid w:val="0885414B"/>
    <w:rsid w:val="088C2326"/>
    <w:rsid w:val="08916AA8"/>
    <w:rsid w:val="089F664F"/>
    <w:rsid w:val="08A203F3"/>
    <w:rsid w:val="08AF00C1"/>
    <w:rsid w:val="08B013D3"/>
    <w:rsid w:val="08B531C0"/>
    <w:rsid w:val="08BB1078"/>
    <w:rsid w:val="08BD1F16"/>
    <w:rsid w:val="08D30FEA"/>
    <w:rsid w:val="08D53034"/>
    <w:rsid w:val="08DA28B3"/>
    <w:rsid w:val="08DD2BEF"/>
    <w:rsid w:val="08E10D07"/>
    <w:rsid w:val="08E8202A"/>
    <w:rsid w:val="08EB433E"/>
    <w:rsid w:val="08EE7481"/>
    <w:rsid w:val="08F445A7"/>
    <w:rsid w:val="08F536BA"/>
    <w:rsid w:val="08FF0187"/>
    <w:rsid w:val="0903652D"/>
    <w:rsid w:val="0903773F"/>
    <w:rsid w:val="090556C6"/>
    <w:rsid w:val="09097FE0"/>
    <w:rsid w:val="09104BF5"/>
    <w:rsid w:val="09104DCD"/>
    <w:rsid w:val="09176C6D"/>
    <w:rsid w:val="092060A3"/>
    <w:rsid w:val="09336C26"/>
    <w:rsid w:val="094C40B4"/>
    <w:rsid w:val="094E3C0B"/>
    <w:rsid w:val="095216D9"/>
    <w:rsid w:val="0959573C"/>
    <w:rsid w:val="095E38C5"/>
    <w:rsid w:val="095F4CFB"/>
    <w:rsid w:val="09606948"/>
    <w:rsid w:val="096C2283"/>
    <w:rsid w:val="096E0D4F"/>
    <w:rsid w:val="09736AE0"/>
    <w:rsid w:val="097F70D9"/>
    <w:rsid w:val="09884131"/>
    <w:rsid w:val="098A59EA"/>
    <w:rsid w:val="098F25F4"/>
    <w:rsid w:val="099173BB"/>
    <w:rsid w:val="099377E9"/>
    <w:rsid w:val="09A028E1"/>
    <w:rsid w:val="09A542A7"/>
    <w:rsid w:val="09C6036B"/>
    <w:rsid w:val="09C65031"/>
    <w:rsid w:val="09DE12BD"/>
    <w:rsid w:val="09E30E5D"/>
    <w:rsid w:val="09E92511"/>
    <w:rsid w:val="09F36DB9"/>
    <w:rsid w:val="09FE7278"/>
    <w:rsid w:val="0A037EB3"/>
    <w:rsid w:val="0A0A0DD2"/>
    <w:rsid w:val="0A134329"/>
    <w:rsid w:val="0A143BE1"/>
    <w:rsid w:val="0A286DFB"/>
    <w:rsid w:val="0A2B74C4"/>
    <w:rsid w:val="0A36289E"/>
    <w:rsid w:val="0A433A17"/>
    <w:rsid w:val="0A5164D1"/>
    <w:rsid w:val="0A537B69"/>
    <w:rsid w:val="0A547FFB"/>
    <w:rsid w:val="0A66421F"/>
    <w:rsid w:val="0A6C43DE"/>
    <w:rsid w:val="0A734C6C"/>
    <w:rsid w:val="0A9318B7"/>
    <w:rsid w:val="0AA438A7"/>
    <w:rsid w:val="0AB64743"/>
    <w:rsid w:val="0ABC02E8"/>
    <w:rsid w:val="0AC16484"/>
    <w:rsid w:val="0AC40EAB"/>
    <w:rsid w:val="0ACB2015"/>
    <w:rsid w:val="0AD20D5E"/>
    <w:rsid w:val="0AD555AC"/>
    <w:rsid w:val="0AED24FC"/>
    <w:rsid w:val="0AEE4CA7"/>
    <w:rsid w:val="0AF93041"/>
    <w:rsid w:val="0AFF2EBF"/>
    <w:rsid w:val="0B0F4A80"/>
    <w:rsid w:val="0B106A85"/>
    <w:rsid w:val="0B1B1997"/>
    <w:rsid w:val="0B241B7B"/>
    <w:rsid w:val="0B24532C"/>
    <w:rsid w:val="0B3256C9"/>
    <w:rsid w:val="0B3F6621"/>
    <w:rsid w:val="0B4D08B6"/>
    <w:rsid w:val="0B4D2A88"/>
    <w:rsid w:val="0B5275D3"/>
    <w:rsid w:val="0B527B25"/>
    <w:rsid w:val="0B5E0983"/>
    <w:rsid w:val="0B67300E"/>
    <w:rsid w:val="0B6A4840"/>
    <w:rsid w:val="0B707256"/>
    <w:rsid w:val="0B7129F9"/>
    <w:rsid w:val="0B742378"/>
    <w:rsid w:val="0B744B6D"/>
    <w:rsid w:val="0B7838CA"/>
    <w:rsid w:val="0B796C7B"/>
    <w:rsid w:val="0B7E60C9"/>
    <w:rsid w:val="0B8730CC"/>
    <w:rsid w:val="0B8B60FC"/>
    <w:rsid w:val="0B917A10"/>
    <w:rsid w:val="0B927AF3"/>
    <w:rsid w:val="0B994E16"/>
    <w:rsid w:val="0BA069F6"/>
    <w:rsid w:val="0BA17AF5"/>
    <w:rsid w:val="0BB6397D"/>
    <w:rsid w:val="0BB64746"/>
    <w:rsid w:val="0BB80875"/>
    <w:rsid w:val="0BE05B3D"/>
    <w:rsid w:val="0BE734A5"/>
    <w:rsid w:val="0BEF4F2C"/>
    <w:rsid w:val="0BF03462"/>
    <w:rsid w:val="0BF56721"/>
    <w:rsid w:val="0BFE233D"/>
    <w:rsid w:val="0C033979"/>
    <w:rsid w:val="0C065F88"/>
    <w:rsid w:val="0C165A64"/>
    <w:rsid w:val="0C1A3B45"/>
    <w:rsid w:val="0C1B40EA"/>
    <w:rsid w:val="0C34437F"/>
    <w:rsid w:val="0C372177"/>
    <w:rsid w:val="0C4363BF"/>
    <w:rsid w:val="0C485EB3"/>
    <w:rsid w:val="0C4C0A20"/>
    <w:rsid w:val="0C5161F8"/>
    <w:rsid w:val="0C52360D"/>
    <w:rsid w:val="0C5919D1"/>
    <w:rsid w:val="0C5A4961"/>
    <w:rsid w:val="0C717078"/>
    <w:rsid w:val="0C7C1976"/>
    <w:rsid w:val="0C7F638D"/>
    <w:rsid w:val="0C84355F"/>
    <w:rsid w:val="0C853374"/>
    <w:rsid w:val="0C881416"/>
    <w:rsid w:val="0C89627C"/>
    <w:rsid w:val="0C8A08C2"/>
    <w:rsid w:val="0C9040A9"/>
    <w:rsid w:val="0CA556FA"/>
    <w:rsid w:val="0CA8228E"/>
    <w:rsid w:val="0CAA3B0C"/>
    <w:rsid w:val="0CAC6DE2"/>
    <w:rsid w:val="0CBA5E3E"/>
    <w:rsid w:val="0CC5327E"/>
    <w:rsid w:val="0CC82BF8"/>
    <w:rsid w:val="0CCB3B11"/>
    <w:rsid w:val="0CD42BD6"/>
    <w:rsid w:val="0CD86E5F"/>
    <w:rsid w:val="0CDE55BC"/>
    <w:rsid w:val="0CDF3914"/>
    <w:rsid w:val="0CE307A8"/>
    <w:rsid w:val="0CEA2CF7"/>
    <w:rsid w:val="0CF15FB4"/>
    <w:rsid w:val="0CFA5129"/>
    <w:rsid w:val="0CFF59E2"/>
    <w:rsid w:val="0D035130"/>
    <w:rsid w:val="0D23336E"/>
    <w:rsid w:val="0D284B82"/>
    <w:rsid w:val="0D2A42A8"/>
    <w:rsid w:val="0D343FE9"/>
    <w:rsid w:val="0D3A5239"/>
    <w:rsid w:val="0D3A7039"/>
    <w:rsid w:val="0D4356A8"/>
    <w:rsid w:val="0D482414"/>
    <w:rsid w:val="0D501A6D"/>
    <w:rsid w:val="0D636B53"/>
    <w:rsid w:val="0D7924F2"/>
    <w:rsid w:val="0D7E2680"/>
    <w:rsid w:val="0D7F305A"/>
    <w:rsid w:val="0D825026"/>
    <w:rsid w:val="0D8735F9"/>
    <w:rsid w:val="0D8972A3"/>
    <w:rsid w:val="0D8C5235"/>
    <w:rsid w:val="0D90652D"/>
    <w:rsid w:val="0D94436C"/>
    <w:rsid w:val="0D980C13"/>
    <w:rsid w:val="0DA05490"/>
    <w:rsid w:val="0DAA386D"/>
    <w:rsid w:val="0DB13C44"/>
    <w:rsid w:val="0DB40989"/>
    <w:rsid w:val="0DB607B8"/>
    <w:rsid w:val="0DC22600"/>
    <w:rsid w:val="0DC51AC4"/>
    <w:rsid w:val="0DC63EF2"/>
    <w:rsid w:val="0DD75C5E"/>
    <w:rsid w:val="0DDF78C5"/>
    <w:rsid w:val="0DE9579A"/>
    <w:rsid w:val="0DFF4B13"/>
    <w:rsid w:val="0E072991"/>
    <w:rsid w:val="0E093416"/>
    <w:rsid w:val="0E2D4DCF"/>
    <w:rsid w:val="0E310944"/>
    <w:rsid w:val="0E402695"/>
    <w:rsid w:val="0E444273"/>
    <w:rsid w:val="0E537A16"/>
    <w:rsid w:val="0E5F228B"/>
    <w:rsid w:val="0E673CAF"/>
    <w:rsid w:val="0E6B4543"/>
    <w:rsid w:val="0E6F2E1A"/>
    <w:rsid w:val="0E777792"/>
    <w:rsid w:val="0E797961"/>
    <w:rsid w:val="0E7B0F71"/>
    <w:rsid w:val="0E7B1FCA"/>
    <w:rsid w:val="0E880E39"/>
    <w:rsid w:val="0E8912B7"/>
    <w:rsid w:val="0E90216E"/>
    <w:rsid w:val="0E9D025B"/>
    <w:rsid w:val="0EA3277B"/>
    <w:rsid w:val="0EA8225F"/>
    <w:rsid w:val="0EAA24D5"/>
    <w:rsid w:val="0EAB2800"/>
    <w:rsid w:val="0EB12E2A"/>
    <w:rsid w:val="0EBD20F5"/>
    <w:rsid w:val="0EC65418"/>
    <w:rsid w:val="0ECC3103"/>
    <w:rsid w:val="0ED01837"/>
    <w:rsid w:val="0ED33A29"/>
    <w:rsid w:val="0EF36922"/>
    <w:rsid w:val="0EF848CF"/>
    <w:rsid w:val="0EF97174"/>
    <w:rsid w:val="0F021563"/>
    <w:rsid w:val="0F0F3D45"/>
    <w:rsid w:val="0F101E08"/>
    <w:rsid w:val="0F180250"/>
    <w:rsid w:val="0F1E7781"/>
    <w:rsid w:val="0F2550AA"/>
    <w:rsid w:val="0F255367"/>
    <w:rsid w:val="0F266A1B"/>
    <w:rsid w:val="0F2B146F"/>
    <w:rsid w:val="0F2C208C"/>
    <w:rsid w:val="0F2F36F8"/>
    <w:rsid w:val="0F350DC2"/>
    <w:rsid w:val="0F364A84"/>
    <w:rsid w:val="0F3A116B"/>
    <w:rsid w:val="0F3E448E"/>
    <w:rsid w:val="0F4C6463"/>
    <w:rsid w:val="0F4F25A5"/>
    <w:rsid w:val="0F511411"/>
    <w:rsid w:val="0F623D06"/>
    <w:rsid w:val="0F672818"/>
    <w:rsid w:val="0F6E793C"/>
    <w:rsid w:val="0F703346"/>
    <w:rsid w:val="0F7045F6"/>
    <w:rsid w:val="0F7D6388"/>
    <w:rsid w:val="0F80004E"/>
    <w:rsid w:val="0F871EAB"/>
    <w:rsid w:val="0F911B7D"/>
    <w:rsid w:val="0F914EB6"/>
    <w:rsid w:val="0F9F1528"/>
    <w:rsid w:val="0FA6689D"/>
    <w:rsid w:val="0FCE1A0C"/>
    <w:rsid w:val="0FD5234F"/>
    <w:rsid w:val="0FDF1FAE"/>
    <w:rsid w:val="0FDF5A14"/>
    <w:rsid w:val="1008703A"/>
    <w:rsid w:val="100F744C"/>
    <w:rsid w:val="10126FBC"/>
    <w:rsid w:val="101A497B"/>
    <w:rsid w:val="102925AB"/>
    <w:rsid w:val="10332C89"/>
    <w:rsid w:val="103809FF"/>
    <w:rsid w:val="103F53B9"/>
    <w:rsid w:val="10475998"/>
    <w:rsid w:val="104D1467"/>
    <w:rsid w:val="10655CF3"/>
    <w:rsid w:val="10764104"/>
    <w:rsid w:val="108230A5"/>
    <w:rsid w:val="10854519"/>
    <w:rsid w:val="10895A07"/>
    <w:rsid w:val="108C64EF"/>
    <w:rsid w:val="10925EE1"/>
    <w:rsid w:val="1096068D"/>
    <w:rsid w:val="109A5954"/>
    <w:rsid w:val="109B5053"/>
    <w:rsid w:val="10A774A5"/>
    <w:rsid w:val="10B951CF"/>
    <w:rsid w:val="10BA53FD"/>
    <w:rsid w:val="10BB3068"/>
    <w:rsid w:val="10C162E7"/>
    <w:rsid w:val="10C23AFA"/>
    <w:rsid w:val="10CA24C8"/>
    <w:rsid w:val="10D254AD"/>
    <w:rsid w:val="10D82C05"/>
    <w:rsid w:val="10D9440E"/>
    <w:rsid w:val="10DF078E"/>
    <w:rsid w:val="10ED1424"/>
    <w:rsid w:val="10F077CB"/>
    <w:rsid w:val="10FF2114"/>
    <w:rsid w:val="110B7786"/>
    <w:rsid w:val="110E3EB6"/>
    <w:rsid w:val="110E4F41"/>
    <w:rsid w:val="111009CE"/>
    <w:rsid w:val="111161D4"/>
    <w:rsid w:val="11131D94"/>
    <w:rsid w:val="111676F8"/>
    <w:rsid w:val="111778A8"/>
    <w:rsid w:val="111E4B32"/>
    <w:rsid w:val="1124277B"/>
    <w:rsid w:val="112819CF"/>
    <w:rsid w:val="112B1CBF"/>
    <w:rsid w:val="11330E6A"/>
    <w:rsid w:val="11387C3E"/>
    <w:rsid w:val="113D59D7"/>
    <w:rsid w:val="11421E5E"/>
    <w:rsid w:val="114C276E"/>
    <w:rsid w:val="114C73CD"/>
    <w:rsid w:val="114E2D76"/>
    <w:rsid w:val="115031A6"/>
    <w:rsid w:val="115958E8"/>
    <w:rsid w:val="11597885"/>
    <w:rsid w:val="11617971"/>
    <w:rsid w:val="11622F64"/>
    <w:rsid w:val="116C0AA4"/>
    <w:rsid w:val="116F4939"/>
    <w:rsid w:val="11846297"/>
    <w:rsid w:val="118660F9"/>
    <w:rsid w:val="11941792"/>
    <w:rsid w:val="11954FC8"/>
    <w:rsid w:val="119B169F"/>
    <w:rsid w:val="119C664F"/>
    <w:rsid w:val="11AD4D58"/>
    <w:rsid w:val="11B209BB"/>
    <w:rsid w:val="11B3214E"/>
    <w:rsid w:val="11B67206"/>
    <w:rsid w:val="11BA4661"/>
    <w:rsid w:val="11BA6A1A"/>
    <w:rsid w:val="11D87DEA"/>
    <w:rsid w:val="11E3621C"/>
    <w:rsid w:val="11E411C4"/>
    <w:rsid w:val="11E64356"/>
    <w:rsid w:val="11EE75FC"/>
    <w:rsid w:val="11F45ACC"/>
    <w:rsid w:val="11FA2349"/>
    <w:rsid w:val="11FD69BF"/>
    <w:rsid w:val="11FE23CE"/>
    <w:rsid w:val="12044AB3"/>
    <w:rsid w:val="12072EB6"/>
    <w:rsid w:val="120D4440"/>
    <w:rsid w:val="120E0A30"/>
    <w:rsid w:val="120E4E60"/>
    <w:rsid w:val="12124AB5"/>
    <w:rsid w:val="121836A1"/>
    <w:rsid w:val="122A5477"/>
    <w:rsid w:val="122D210C"/>
    <w:rsid w:val="12305F01"/>
    <w:rsid w:val="12342A01"/>
    <w:rsid w:val="12380DF7"/>
    <w:rsid w:val="12381464"/>
    <w:rsid w:val="12533BE9"/>
    <w:rsid w:val="12561EE3"/>
    <w:rsid w:val="125B1CEE"/>
    <w:rsid w:val="126548EE"/>
    <w:rsid w:val="1279795D"/>
    <w:rsid w:val="12817181"/>
    <w:rsid w:val="12913A90"/>
    <w:rsid w:val="129E267E"/>
    <w:rsid w:val="129E41E5"/>
    <w:rsid w:val="12AA4BE9"/>
    <w:rsid w:val="12AD464A"/>
    <w:rsid w:val="12C003F7"/>
    <w:rsid w:val="12C23D3B"/>
    <w:rsid w:val="12C7679B"/>
    <w:rsid w:val="12CB658F"/>
    <w:rsid w:val="12CC34CB"/>
    <w:rsid w:val="12D04177"/>
    <w:rsid w:val="12DD774D"/>
    <w:rsid w:val="12E20B88"/>
    <w:rsid w:val="12E85A12"/>
    <w:rsid w:val="12EB04FE"/>
    <w:rsid w:val="12FD3C17"/>
    <w:rsid w:val="13012566"/>
    <w:rsid w:val="13026866"/>
    <w:rsid w:val="13045302"/>
    <w:rsid w:val="13070994"/>
    <w:rsid w:val="130D494D"/>
    <w:rsid w:val="131F3842"/>
    <w:rsid w:val="13204B9A"/>
    <w:rsid w:val="13333FBE"/>
    <w:rsid w:val="133E4EC4"/>
    <w:rsid w:val="134620E4"/>
    <w:rsid w:val="13502DEE"/>
    <w:rsid w:val="136404F3"/>
    <w:rsid w:val="137256CA"/>
    <w:rsid w:val="137333F8"/>
    <w:rsid w:val="1375696B"/>
    <w:rsid w:val="137E2663"/>
    <w:rsid w:val="1387162D"/>
    <w:rsid w:val="13872125"/>
    <w:rsid w:val="138C47A9"/>
    <w:rsid w:val="13A3756F"/>
    <w:rsid w:val="13AC2F3F"/>
    <w:rsid w:val="13AD48CA"/>
    <w:rsid w:val="13B27809"/>
    <w:rsid w:val="13B61E8E"/>
    <w:rsid w:val="13BA0C00"/>
    <w:rsid w:val="13BD2572"/>
    <w:rsid w:val="13BE1FBB"/>
    <w:rsid w:val="13C23A1B"/>
    <w:rsid w:val="13C76244"/>
    <w:rsid w:val="13C83228"/>
    <w:rsid w:val="13CF28FB"/>
    <w:rsid w:val="13DA7C15"/>
    <w:rsid w:val="13EA5E5F"/>
    <w:rsid w:val="13EE312D"/>
    <w:rsid w:val="13FA0609"/>
    <w:rsid w:val="13FF0D0B"/>
    <w:rsid w:val="14107AE9"/>
    <w:rsid w:val="14175E0A"/>
    <w:rsid w:val="141A54F6"/>
    <w:rsid w:val="141F1BA5"/>
    <w:rsid w:val="142A2204"/>
    <w:rsid w:val="143E5D02"/>
    <w:rsid w:val="14400516"/>
    <w:rsid w:val="14446EDD"/>
    <w:rsid w:val="144D5A3C"/>
    <w:rsid w:val="14626158"/>
    <w:rsid w:val="146B26BB"/>
    <w:rsid w:val="146B39B7"/>
    <w:rsid w:val="1472255F"/>
    <w:rsid w:val="14782396"/>
    <w:rsid w:val="148942E3"/>
    <w:rsid w:val="148B031E"/>
    <w:rsid w:val="14917ABA"/>
    <w:rsid w:val="1499627B"/>
    <w:rsid w:val="14A20D3D"/>
    <w:rsid w:val="14AB12B5"/>
    <w:rsid w:val="14AC25B0"/>
    <w:rsid w:val="14AE0BED"/>
    <w:rsid w:val="14AF303C"/>
    <w:rsid w:val="14BE55AD"/>
    <w:rsid w:val="14E00FC5"/>
    <w:rsid w:val="14E21050"/>
    <w:rsid w:val="14E52CFF"/>
    <w:rsid w:val="14E909DB"/>
    <w:rsid w:val="14EE2BDA"/>
    <w:rsid w:val="1502113A"/>
    <w:rsid w:val="15084F99"/>
    <w:rsid w:val="150D2EFA"/>
    <w:rsid w:val="151308D4"/>
    <w:rsid w:val="15195163"/>
    <w:rsid w:val="151E3433"/>
    <w:rsid w:val="15233122"/>
    <w:rsid w:val="15250257"/>
    <w:rsid w:val="15250840"/>
    <w:rsid w:val="15281376"/>
    <w:rsid w:val="152A315A"/>
    <w:rsid w:val="153263DB"/>
    <w:rsid w:val="1534197E"/>
    <w:rsid w:val="1538725F"/>
    <w:rsid w:val="15422545"/>
    <w:rsid w:val="155778C6"/>
    <w:rsid w:val="156508EF"/>
    <w:rsid w:val="15693006"/>
    <w:rsid w:val="156A5AB1"/>
    <w:rsid w:val="156F154F"/>
    <w:rsid w:val="15716A99"/>
    <w:rsid w:val="157177C3"/>
    <w:rsid w:val="15784D86"/>
    <w:rsid w:val="1581047E"/>
    <w:rsid w:val="15890531"/>
    <w:rsid w:val="15895642"/>
    <w:rsid w:val="159D6224"/>
    <w:rsid w:val="15A210AA"/>
    <w:rsid w:val="15A444EB"/>
    <w:rsid w:val="15AC224C"/>
    <w:rsid w:val="15B0540D"/>
    <w:rsid w:val="15B7532E"/>
    <w:rsid w:val="15C56F14"/>
    <w:rsid w:val="15C84147"/>
    <w:rsid w:val="15CA017F"/>
    <w:rsid w:val="15CF3257"/>
    <w:rsid w:val="15CF5F29"/>
    <w:rsid w:val="15D71AD5"/>
    <w:rsid w:val="15DC38C2"/>
    <w:rsid w:val="15E6213A"/>
    <w:rsid w:val="15F23B4A"/>
    <w:rsid w:val="15FA3003"/>
    <w:rsid w:val="15FC08F6"/>
    <w:rsid w:val="16092E0B"/>
    <w:rsid w:val="160957B4"/>
    <w:rsid w:val="16197D5A"/>
    <w:rsid w:val="16204A74"/>
    <w:rsid w:val="16230EC0"/>
    <w:rsid w:val="162D1072"/>
    <w:rsid w:val="162D39D7"/>
    <w:rsid w:val="16312F69"/>
    <w:rsid w:val="16412E71"/>
    <w:rsid w:val="164442E3"/>
    <w:rsid w:val="1646133C"/>
    <w:rsid w:val="164E5D24"/>
    <w:rsid w:val="165931D9"/>
    <w:rsid w:val="165E065B"/>
    <w:rsid w:val="16632B3C"/>
    <w:rsid w:val="16682D3E"/>
    <w:rsid w:val="166D1325"/>
    <w:rsid w:val="167046E9"/>
    <w:rsid w:val="167E382D"/>
    <w:rsid w:val="168143F4"/>
    <w:rsid w:val="16856960"/>
    <w:rsid w:val="16A5066B"/>
    <w:rsid w:val="16B278AE"/>
    <w:rsid w:val="16C974D4"/>
    <w:rsid w:val="16CC4D1F"/>
    <w:rsid w:val="16D1481D"/>
    <w:rsid w:val="16D43DC5"/>
    <w:rsid w:val="16DB7C16"/>
    <w:rsid w:val="16DC0535"/>
    <w:rsid w:val="16ED1AFC"/>
    <w:rsid w:val="16F63089"/>
    <w:rsid w:val="16F65238"/>
    <w:rsid w:val="16F83FBE"/>
    <w:rsid w:val="16F956D8"/>
    <w:rsid w:val="170716B6"/>
    <w:rsid w:val="170C1DA9"/>
    <w:rsid w:val="17187D1E"/>
    <w:rsid w:val="17255D87"/>
    <w:rsid w:val="17315D5C"/>
    <w:rsid w:val="17474573"/>
    <w:rsid w:val="1748083E"/>
    <w:rsid w:val="17484F6E"/>
    <w:rsid w:val="174D24DD"/>
    <w:rsid w:val="17505641"/>
    <w:rsid w:val="17553F9F"/>
    <w:rsid w:val="175623CE"/>
    <w:rsid w:val="176538DA"/>
    <w:rsid w:val="177A213A"/>
    <w:rsid w:val="178246D4"/>
    <w:rsid w:val="17831116"/>
    <w:rsid w:val="178A309D"/>
    <w:rsid w:val="17914610"/>
    <w:rsid w:val="1794775D"/>
    <w:rsid w:val="17970D3C"/>
    <w:rsid w:val="17972E5A"/>
    <w:rsid w:val="17A24A7D"/>
    <w:rsid w:val="17C376AD"/>
    <w:rsid w:val="17CB4905"/>
    <w:rsid w:val="17D01F3A"/>
    <w:rsid w:val="17DC7DAF"/>
    <w:rsid w:val="17DD1CB2"/>
    <w:rsid w:val="17DF40F7"/>
    <w:rsid w:val="17FE5AF9"/>
    <w:rsid w:val="180224D1"/>
    <w:rsid w:val="1803598D"/>
    <w:rsid w:val="180E4FC5"/>
    <w:rsid w:val="18170B93"/>
    <w:rsid w:val="18171331"/>
    <w:rsid w:val="18243C58"/>
    <w:rsid w:val="182D696E"/>
    <w:rsid w:val="18376EC9"/>
    <w:rsid w:val="18396192"/>
    <w:rsid w:val="18466B2E"/>
    <w:rsid w:val="184A4BE3"/>
    <w:rsid w:val="185060EC"/>
    <w:rsid w:val="185114D2"/>
    <w:rsid w:val="185A42FA"/>
    <w:rsid w:val="185F480A"/>
    <w:rsid w:val="186829A6"/>
    <w:rsid w:val="186F7ED1"/>
    <w:rsid w:val="18870C54"/>
    <w:rsid w:val="18876205"/>
    <w:rsid w:val="189D2207"/>
    <w:rsid w:val="189D4742"/>
    <w:rsid w:val="189F6908"/>
    <w:rsid w:val="18A211F6"/>
    <w:rsid w:val="18A45C40"/>
    <w:rsid w:val="18B07A8C"/>
    <w:rsid w:val="18B41D16"/>
    <w:rsid w:val="18CF589F"/>
    <w:rsid w:val="18D57338"/>
    <w:rsid w:val="18D659D2"/>
    <w:rsid w:val="18D8035B"/>
    <w:rsid w:val="18D82C9E"/>
    <w:rsid w:val="18DA4B91"/>
    <w:rsid w:val="18E83469"/>
    <w:rsid w:val="18E96032"/>
    <w:rsid w:val="18ED162D"/>
    <w:rsid w:val="18EE62E8"/>
    <w:rsid w:val="18EF6677"/>
    <w:rsid w:val="18F62584"/>
    <w:rsid w:val="18F96461"/>
    <w:rsid w:val="1903629F"/>
    <w:rsid w:val="19116F8E"/>
    <w:rsid w:val="191F13C5"/>
    <w:rsid w:val="192344FC"/>
    <w:rsid w:val="19264669"/>
    <w:rsid w:val="19287C98"/>
    <w:rsid w:val="192F5D97"/>
    <w:rsid w:val="1944527C"/>
    <w:rsid w:val="19492209"/>
    <w:rsid w:val="1950167A"/>
    <w:rsid w:val="19551A74"/>
    <w:rsid w:val="195F7D63"/>
    <w:rsid w:val="19624B24"/>
    <w:rsid w:val="19673A43"/>
    <w:rsid w:val="197C2433"/>
    <w:rsid w:val="197D1062"/>
    <w:rsid w:val="19855C98"/>
    <w:rsid w:val="19933139"/>
    <w:rsid w:val="19976C65"/>
    <w:rsid w:val="19A7610F"/>
    <w:rsid w:val="19AC4F46"/>
    <w:rsid w:val="19B81D23"/>
    <w:rsid w:val="19BB1243"/>
    <w:rsid w:val="19BB1467"/>
    <w:rsid w:val="19BB7BD9"/>
    <w:rsid w:val="19BE29BF"/>
    <w:rsid w:val="19C737BC"/>
    <w:rsid w:val="19D22AB0"/>
    <w:rsid w:val="19D25AEF"/>
    <w:rsid w:val="19D57461"/>
    <w:rsid w:val="19D8171A"/>
    <w:rsid w:val="19E70437"/>
    <w:rsid w:val="19E74602"/>
    <w:rsid w:val="19EE7D0B"/>
    <w:rsid w:val="19F8221D"/>
    <w:rsid w:val="19FB6BA4"/>
    <w:rsid w:val="19FF7B89"/>
    <w:rsid w:val="1A032E1D"/>
    <w:rsid w:val="1A077D86"/>
    <w:rsid w:val="1A085685"/>
    <w:rsid w:val="1A0F7176"/>
    <w:rsid w:val="1A1328F7"/>
    <w:rsid w:val="1A191F3E"/>
    <w:rsid w:val="1A1F0393"/>
    <w:rsid w:val="1A2244B6"/>
    <w:rsid w:val="1A25452E"/>
    <w:rsid w:val="1A285C6E"/>
    <w:rsid w:val="1A3417B8"/>
    <w:rsid w:val="1A34568A"/>
    <w:rsid w:val="1A3B0B4F"/>
    <w:rsid w:val="1A4B5CA1"/>
    <w:rsid w:val="1A5163D6"/>
    <w:rsid w:val="1A5204BD"/>
    <w:rsid w:val="1A54768F"/>
    <w:rsid w:val="1A5A669E"/>
    <w:rsid w:val="1A615557"/>
    <w:rsid w:val="1A796C32"/>
    <w:rsid w:val="1A7C7103"/>
    <w:rsid w:val="1A9465A6"/>
    <w:rsid w:val="1A956BC9"/>
    <w:rsid w:val="1AA35A80"/>
    <w:rsid w:val="1AA56A7F"/>
    <w:rsid w:val="1AAB563E"/>
    <w:rsid w:val="1AB36C5E"/>
    <w:rsid w:val="1AB60EBE"/>
    <w:rsid w:val="1AB9028C"/>
    <w:rsid w:val="1AC56317"/>
    <w:rsid w:val="1AD365C4"/>
    <w:rsid w:val="1AD6319E"/>
    <w:rsid w:val="1AE952DE"/>
    <w:rsid w:val="1AF96C7B"/>
    <w:rsid w:val="1B0A08B9"/>
    <w:rsid w:val="1B1075FD"/>
    <w:rsid w:val="1B167885"/>
    <w:rsid w:val="1B231A16"/>
    <w:rsid w:val="1B4B651F"/>
    <w:rsid w:val="1B5A7540"/>
    <w:rsid w:val="1B5D1B68"/>
    <w:rsid w:val="1B6848B0"/>
    <w:rsid w:val="1B777BC9"/>
    <w:rsid w:val="1B7D10D5"/>
    <w:rsid w:val="1B8D6B92"/>
    <w:rsid w:val="1B8F3C2A"/>
    <w:rsid w:val="1B936CD6"/>
    <w:rsid w:val="1B990279"/>
    <w:rsid w:val="1B9B4E1C"/>
    <w:rsid w:val="1B9C50E9"/>
    <w:rsid w:val="1BAA5FDD"/>
    <w:rsid w:val="1BAD4429"/>
    <w:rsid w:val="1BB80557"/>
    <w:rsid w:val="1BB9458C"/>
    <w:rsid w:val="1BBB45CD"/>
    <w:rsid w:val="1BBC1606"/>
    <w:rsid w:val="1BC564C2"/>
    <w:rsid w:val="1BCB2744"/>
    <w:rsid w:val="1BD24284"/>
    <w:rsid w:val="1BD91A80"/>
    <w:rsid w:val="1BE641ED"/>
    <w:rsid w:val="1BF14560"/>
    <w:rsid w:val="1BF24F3D"/>
    <w:rsid w:val="1C0C3217"/>
    <w:rsid w:val="1C101BF2"/>
    <w:rsid w:val="1C1D36F1"/>
    <w:rsid w:val="1C221FBB"/>
    <w:rsid w:val="1C247D0B"/>
    <w:rsid w:val="1C291BAA"/>
    <w:rsid w:val="1C2A3A57"/>
    <w:rsid w:val="1C2A5B45"/>
    <w:rsid w:val="1C384560"/>
    <w:rsid w:val="1C386892"/>
    <w:rsid w:val="1C4A05F8"/>
    <w:rsid w:val="1C4A2683"/>
    <w:rsid w:val="1C5D7BFA"/>
    <w:rsid w:val="1C5E6C62"/>
    <w:rsid w:val="1C5F292D"/>
    <w:rsid w:val="1C5F3B2B"/>
    <w:rsid w:val="1C5F5715"/>
    <w:rsid w:val="1C631E26"/>
    <w:rsid w:val="1C6F10B8"/>
    <w:rsid w:val="1C7530BF"/>
    <w:rsid w:val="1C767D58"/>
    <w:rsid w:val="1C883589"/>
    <w:rsid w:val="1C961365"/>
    <w:rsid w:val="1C9E6316"/>
    <w:rsid w:val="1CA23F30"/>
    <w:rsid w:val="1CAB7398"/>
    <w:rsid w:val="1CAE6FAD"/>
    <w:rsid w:val="1CBC5611"/>
    <w:rsid w:val="1CD22BC7"/>
    <w:rsid w:val="1CD22EF6"/>
    <w:rsid w:val="1CD7177C"/>
    <w:rsid w:val="1CDB3711"/>
    <w:rsid w:val="1CDE68ED"/>
    <w:rsid w:val="1CDF62F9"/>
    <w:rsid w:val="1CE14471"/>
    <w:rsid w:val="1CE95E52"/>
    <w:rsid w:val="1CEB1B8C"/>
    <w:rsid w:val="1CEF02A3"/>
    <w:rsid w:val="1CEF7D99"/>
    <w:rsid w:val="1CF005FD"/>
    <w:rsid w:val="1CF6531E"/>
    <w:rsid w:val="1CF73467"/>
    <w:rsid w:val="1D0A5C6D"/>
    <w:rsid w:val="1D0B195E"/>
    <w:rsid w:val="1D0B19B3"/>
    <w:rsid w:val="1D1E3E53"/>
    <w:rsid w:val="1D211429"/>
    <w:rsid w:val="1D22539B"/>
    <w:rsid w:val="1D244763"/>
    <w:rsid w:val="1D2942F8"/>
    <w:rsid w:val="1D322C6A"/>
    <w:rsid w:val="1D3570D5"/>
    <w:rsid w:val="1D3D4708"/>
    <w:rsid w:val="1D48400E"/>
    <w:rsid w:val="1D4E0EB2"/>
    <w:rsid w:val="1D5255A7"/>
    <w:rsid w:val="1D54652C"/>
    <w:rsid w:val="1D5A2F24"/>
    <w:rsid w:val="1D5C683A"/>
    <w:rsid w:val="1D693FA7"/>
    <w:rsid w:val="1D7A0BDC"/>
    <w:rsid w:val="1D7B406F"/>
    <w:rsid w:val="1D855C9C"/>
    <w:rsid w:val="1D8F4E65"/>
    <w:rsid w:val="1D953084"/>
    <w:rsid w:val="1D977656"/>
    <w:rsid w:val="1DB553DF"/>
    <w:rsid w:val="1DB94157"/>
    <w:rsid w:val="1DBE0A9D"/>
    <w:rsid w:val="1DBF1882"/>
    <w:rsid w:val="1DC964EA"/>
    <w:rsid w:val="1DCE009D"/>
    <w:rsid w:val="1DCE65F7"/>
    <w:rsid w:val="1DDB7496"/>
    <w:rsid w:val="1DE366AE"/>
    <w:rsid w:val="1DE44254"/>
    <w:rsid w:val="1DE82342"/>
    <w:rsid w:val="1DF04BC7"/>
    <w:rsid w:val="1DF17BE1"/>
    <w:rsid w:val="1E114BF6"/>
    <w:rsid w:val="1E1660FE"/>
    <w:rsid w:val="1E1A0A43"/>
    <w:rsid w:val="1E394EB8"/>
    <w:rsid w:val="1E3A10AF"/>
    <w:rsid w:val="1E3A3326"/>
    <w:rsid w:val="1E4719A3"/>
    <w:rsid w:val="1E520582"/>
    <w:rsid w:val="1E5F1F97"/>
    <w:rsid w:val="1E6C5F4E"/>
    <w:rsid w:val="1E773774"/>
    <w:rsid w:val="1E7C74D7"/>
    <w:rsid w:val="1E841CFD"/>
    <w:rsid w:val="1E875401"/>
    <w:rsid w:val="1E8C02E0"/>
    <w:rsid w:val="1E976557"/>
    <w:rsid w:val="1EA1074C"/>
    <w:rsid w:val="1EA65561"/>
    <w:rsid w:val="1EA6684B"/>
    <w:rsid w:val="1EAD4127"/>
    <w:rsid w:val="1EB70BD9"/>
    <w:rsid w:val="1EB8797A"/>
    <w:rsid w:val="1EB90933"/>
    <w:rsid w:val="1ECD4FF5"/>
    <w:rsid w:val="1ED150F7"/>
    <w:rsid w:val="1EE06E00"/>
    <w:rsid w:val="1EEC719E"/>
    <w:rsid w:val="1EF7018A"/>
    <w:rsid w:val="1EF76F5D"/>
    <w:rsid w:val="1EFB097E"/>
    <w:rsid w:val="1F0242AA"/>
    <w:rsid w:val="1F044236"/>
    <w:rsid w:val="1F1F2D3D"/>
    <w:rsid w:val="1F25251D"/>
    <w:rsid w:val="1F2B5438"/>
    <w:rsid w:val="1F2F41FD"/>
    <w:rsid w:val="1F332069"/>
    <w:rsid w:val="1F390590"/>
    <w:rsid w:val="1F397998"/>
    <w:rsid w:val="1F3E5153"/>
    <w:rsid w:val="1F424A01"/>
    <w:rsid w:val="1F447919"/>
    <w:rsid w:val="1F484B9B"/>
    <w:rsid w:val="1F48770A"/>
    <w:rsid w:val="1F4C6748"/>
    <w:rsid w:val="1F543A73"/>
    <w:rsid w:val="1F562300"/>
    <w:rsid w:val="1F582479"/>
    <w:rsid w:val="1F595467"/>
    <w:rsid w:val="1F5B2F4F"/>
    <w:rsid w:val="1F5C06A1"/>
    <w:rsid w:val="1F666570"/>
    <w:rsid w:val="1F6F7CBE"/>
    <w:rsid w:val="1F8D0D05"/>
    <w:rsid w:val="1FA4548A"/>
    <w:rsid w:val="1FA85442"/>
    <w:rsid w:val="1FAD7CA5"/>
    <w:rsid w:val="1FB80942"/>
    <w:rsid w:val="1FBB5482"/>
    <w:rsid w:val="1FC73DB2"/>
    <w:rsid w:val="1FDE52AF"/>
    <w:rsid w:val="1FE537F0"/>
    <w:rsid w:val="2001262E"/>
    <w:rsid w:val="200D64BE"/>
    <w:rsid w:val="20153599"/>
    <w:rsid w:val="201A32E0"/>
    <w:rsid w:val="201B2789"/>
    <w:rsid w:val="201F4440"/>
    <w:rsid w:val="20256516"/>
    <w:rsid w:val="202F579D"/>
    <w:rsid w:val="204C44A6"/>
    <w:rsid w:val="20584BED"/>
    <w:rsid w:val="20916684"/>
    <w:rsid w:val="20954B01"/>
    <w:rsid w:val="20A944F4"/>
    <w:rsid w:val="20B2309F"/>
    <w:rsid w:val="20D60AAE"/>
    <w:rsid w:val="20D84C43"/>
    <w:rsid w:val="20DE5B9D"/>
    <w:rsid w:val="20DF61AB"/>
    <w:rsid w:val="20F5066D"/>
    <w:rsid w:val="20F9606D"/>
    <w:rsid w:val="21015824"/>
    <w:rsid w:val="21061BA2"/>
    <w:rsid w:val="21132913"/>
    <w:rsid w:val="21183943"/>
    <w:rsid w:val="211B57FD"/>
    <w:rsid w:val="211B79D8"/>
    <w:rsid w:val="2121427E"/>
    <w:rsid w:val="21262CBA"/>
    <w:rsid w:val="212B1C97"/>
    <w:rsid w:val="212C6029"/>
    <w:rsid w:val="212F35F6"/>
    <w:rsid w:val="21361FB5"/>
    <w:rsid w:val="214B3D89"/>
    <w:rsid w:val="21541268"/>
    <w:rsid w:val="21575426"/>
    <w:rsid w:val="215C1F77"/>
    <w:rsid w:val="216E0E33"/>
    <w:rsid w:val="216E2BD2"/>
    <w:rsid w:val="217414EF"/>
    <w:rsid w:val="21750104"/>
    <w:rsid w:val="217554C8"/>
    <w:rsid w:val="2177769E"/>
    <w:rsid w:val="217E1DFE"/>
    <w:rsid w:val="21881496"/>
    <w:rsid w:val="219723DC"/>
    <w:rsid w:val="219D0C9D"/>
    <w:rsid w:val="21B15C0A"/>
    <w:rsid w:val="21BA22E9"/>
    <w:rsid w:val="21C249F4"/>
    <w:rsid w:val="21C35D68"/>
    <w:rsid w:val="21D25FF2"/>
    <w:rsid w:val="21E056C0"/>
    <w:rsid w:val="21E2346F"/>
    <w:rsid w:val="21EF4908"/>
    <w:rsid w:val="21F70210"/>
    <w:rsid w:val="21FB6ACC"/>
    <w:rsid w:val="220049A4"/>
    <w:rsid w:val="2200577E"/>
    <w:rsid w:val="22105252"/>
    <w:rsid w:val="22322466"/>
    <w:rsid w:val="22325D48"/>
    <w:rsid w:val="22344A9E"/>
    <w:rsid w:val="223552C7"/>
    <w:rsid w:val="22363269"/>
    <w:rsid w:val="22367B67"/>
    <w:rsid w:val="223C2DAF"/>
    <w:rsid w:val="223E2651"/>
    <w:rsid w:val="224E2864"/>
    <w:rsid w:val="224E39C0"/>
    <w:rsid w:val="2250123D"/>
    <w:rsid w:val="22597779"/>
    <w:rsid w:val="226575C4"/>
    <w:rsid w:val="22682C5C"/>
    <w:rsid w:val="226D3EEA"/>
    <w:rsid w:val="226E077B"/>
    <w:rsid w:val="227043ED"/>
    <w:rsid w:val="22923DE9"/>
    <w:rsid w:val="22973417"/>
    <w:rsid w:val="229D5794"/>
    <w:rsid w:val="22B83E1E"/>
    <w:rsid w:val="22BF3D00"/>
    <w:rsid w:val="22C10F34"/>
    <w:rsid w:val="22C1459E"/>
    <w:rsid w:val="22C16F92"/>
    <w:rsid w:val="22C17DB5"/>
    <w:rsid w:val="22C629AC"/>
    <w:rsid w:val="22CB01D1"/>
    <w:rsid w:val="22CE6ADD"/>
    <w:rsid w:val="22DD27AA"/>
    <w:rsid w:val="22E719EF"/>
    <w:rsid w:val="22E96F92"/>
    <w:rsid w:val="22F66168"/>
    <w:rsid w:val="22F870EC"/>
    <w:rsid w:val="23032953"/>
    <w:rsid w:val="23060CEA"/>
    <w:rsid w:val="23085EFE"/>
    <w:rsid w:val="230D3451"/>
    <w:rsid w:val="230E5678"/>
    <w:rsid w:val="231074AE"/>
    <w:rsid w:val="23241271"/>
    <w:rsid w:val="23257653"/>
    <w:rsid w:val="233C2C53"/>
    <w:rsid w:val="23441FFA"/>
    <w:rsid w:val="23490758"/>
    <w:rsid w:val="234B3276"/>
    <w:rsid w:val="234D0079"/>
    <w:rsid w:val="23573ECC"/>
    <w:rsid w:val="23626B1C"/>
    <w:rsid w:val="236E03B0"/>
    <w:rsid w:val="23723533"/>
    <w:rsid w:val="23773623"/>
    <w:rsid w:val="2377693D"/>
    <w:rsid w:val="237D6817"/>
    <w:rsid w:val="238724DB"/>
    <w:rsid w:val="23904EBC"/>
    <w:rsid w:val="23921988"/>
    <w:rsid w:val="23943321"/>
    <w:rsid w:val="23996B76"/>
    <w:rsid w:val="239D0541"/>
    <w:rsid w:val="239F724D"/>
    <w:rsid w:val="23A43BC8"/>
    <w:rsid w:val="23AB1721"/>
    <w:rsid w:val="23AD6B8D"/>
    <w:rsid w:val="23B865C5"/>
    <w:rsid w:val="23C9112D"/>
    <w:rsid w:val="23D95FBD"/>
    <w:rsid w:val="23DC2486"/>
    <w:rsid w:val="23EF0BE1"/>
    <w:rsid w:val="23F30609"/>
    <w:rsid w:val="23FC4C74"/>
    <w:rsid w:val="24002E5E"/>
    <w:rsid w:val="2401409C"/>
    <w:rsid w:val="24030096"/>
    <w:rsid w:val="24044127"/>
    <w:rsid w:val="240C0165"/>
    <w:rsid w:val="240F46B6"/>
    <w:rsid w:val="24116F89"/>
    <w:rsid w:val="24145719"/>
    <w:rsid w:val="24175851"/>
    <w:rsid w:val="241F1B90"/>
    <w:rsid w:val="242B5102"/>
    <w:rsid w:val="24430AAF"/>
    <w:rsid w:val="24435E0A"/>
    <w:rsid w:val="24532F99"/>
    <w:rsid w:val="245734DF"/>
    <w:rsid w:val="245A6743"/>
    <w:rsid w:val="246658A8"/>
    <w:rsid w:val="2466751E"/>
    <w:rsid w:val="246A08B9"/>
    <w:rsid w:val="24754B15"/>
    <w:rsid w:val="247F64CC"/>
    <w:rsid w:val="248A159A"/>
    <w:rsid w:val="248C2469"/>
    <w:rsid w:val="248C59A2"/>
    <w:rsid w:val="248D420D"/>
    <w:rsid w:val="248F3041"/>
    <w:rsid w:val="24921B27"/>
    <w:rsid w:val="24A0121D"/>
    <w:rsid w:val="24B02B84"/>
    <w:rsid w:val="24B47257"/>
    <w:rsid w:val="24B97631"/>
    <w:rsid w:val="24BD5AA0"/>
    <w:rsid w:val="24C90419"/>
    <w:rsid w:val="24DC693F"/>
    <w:rsid w:val="24E32289"/>
    <w:rsid w:val="24E93158"/>
    <w:rsid w:val="24ED1C1E"/>
    <w:rsid w:val="24F0284D"/>
    <w:rsid w:val="24FB7D5F"/>
    <w:rsid w:val="250E20E4"/>
    <w:rsid w:val="250E67D7"/>
    <w:rsid w:val="251315D3"/>
    <w:rsid w:val="25202C91"/>
    <w:rsid w:val="25212B83"/>
    <w:rsid w:val="252331A5"/>
    <w:rsid w:val="25255C6A"/>
    <w:rsid w:val="25266F92"/>
    <w:rsid w:val="252733A0"/>
    <w:rsid w:val="252C19DC"/>
    <w:rsid w:val="253012F8"/>
    <w:rsid w:val="253B28F0"/>
    <w:rsid w:val="253C437F"/>
    <w:rsid w:val="25425A19"/>
    <w:rsid w:val="25433441"/>
    <w:rsid w:val="25490B3E"/>
    <w:rsid w:val="254B2E97"/>
    <w:rsid w:val="2557740C"/>
    <w:rsid w:val="255C215A"/>
    <w:rsid w:val="255C46D3"/>
    <w:rsid w:val="25614063"/>
    <w:rsid w:val="256F1A53"/>
    <w:rsid w:val="25744759"/>
    <w:rsid w:val="25776C46"/>
    <w:rsid w:val="257D5536"/>
    <w:rsid w:val="258B2F2B"/>
    <w:rsid w:val="258B31A0"/>
    <w:rsid w:val="25935964"/>
    <w:rsid w:val="259C46FE"/>
    <w:rsid w:val="25A14E4D"/>
    <w:rsid w:val="25A16CA8"/>
    <w:rsid w:val="25A17F32"/>
    <w:rsid w:val="25A94457"/>
    <w:rsid w:val="25AB0A2D"/>
    <w:rsid w:val="25AB3D1C"/>
    <w:rsid w:val="25AD7BE8"/>
    <w:rsid w:val="25B21B15"/>
    <w:rsid w:val="25B7376D"/>
    <w:rsid w:val="25C44057"/>
    <w:rsid w:val="25D41E2D"/>
    <w:rsid w:val="25D90A1B"/>
    <w:rsid w:val="25E22192"/>
    <w:rsid w:val="25E70E85"/>
    <w:rsid w:val="25EC2007"/>
    <w:rsid w:val="25F332FF"/>
    <w:rsid w:val="25FA5ECB"/>
    <w:rsid w:val="25FE37D6"/>
    <w:rsid w:val="260C24B4"/>
    <w:rsid w:val="26202999"/>
    <w:rsid w:val="2622417B"/>
    <w:rsid w:val="26242E36"/>
    <w:rsid w:val="26274BB6"/>
    <w:rsid w:val="262F239C"/>
    <w:rsid w:val="263227F8"/>
    <w:rsid w:val="2634261F"/>
    <w:rsid w:val="26356536"/>
    <w:rsid w:val="26405DB9"/>
    <w:rsid w:val="26405E19"/>
    <w:rsid w:val="264542D6"/>
    <w:rsid w:val="26465658"/>
    <w:rsid w:val="264779F7"/>
    <w:rsid w:val="26480042"/>
    <w:rsid w:val="26552372"/>
    <w:rsid w:val="267A6D2E"/>
    <w:rsid w:val="267B3075"/>
    <w:rsid w:val="267B5E32"/>
    <w:rsid w:val="268806AE"/>
    <w:rsid w:val="268B243A"/>
    <w:rsid w:val="268F66E5"/>
    <w:rsid w:val="269221D6"/>
    <w:rsid w:val="269730A2"/>
    <w:rsid w:val="269C627F"/>
    <w:rsid w:val="26A5686B"/>
    <w:rsid w:val="26AA20D3"/>
    <w:rsid w:val="26AB568F"/>
    <w:rsid w:val="26B43DCE"/>
    <w:rsid w:val="26C705B0"/>
    <w:rsid w:val="26D63BC5"/>
    <w:rsid w:val="26D933C3"/>
    <w:rsid w:val="26DD3B73"/>
    <w:rsid w:val="26E576C7"/>
    <w:rsid w:val="26E663D1"/>
    <w:rsid w:val="26F04260"/>
    <w:rsid w:val="26F81EB4"/>
    <w:rsid w:val="26FB2F1B"/>
    <w:rsid w:val="271D63E4"/>
    <w:rsid w:val="271D6996"/>
    <w:rsid w:val="27233CC4"/>
    <w:rsid w:val="27310B9A"/>
    <w:rsid w:val="27322F4A"/>
    <w:rsid w:val="27370766"/>
    <w:rsid w:val="273970CB"/>
    <w:rsid w:val="273E1C11"/>
    <w:rsid w:val="273F7D71"/>
    <w:rsid w:val="274676FC"/>
    <w:rsid w:val="275265C3"/>
    <w:rsid w:val="27593810"/>
    <w:rsid w:val="275B2DEA"/>
    <w:rsid w:val="276B112C"/>
    <w:rsid w:val="27754A5C"/>
    <w:rsid w:val="27815619"/>
    <w:rsid w:val="27860F65"/>
    <w:rsid w:val="279E2679"/>
    <w:rsid w:val="279F1E55"/>
    <w:rsid w:val="279F554C"/>
    <w:rsid w:val="27B37783"/>
    <w:rsid w:val="27CB6AE3"/>
    <w:rsid w:val="27D2258D"/>
    <w:rsid w:val="27D65541"/>
    <w:rsid w:val="27E466F0"/>
    <w:rsid w:val="27EC5FCE"/>
    <w:rsid w:val="28046072"/>
    <w:rsid w:val="28136E4F"/>
    <w:rsid w:val="28174A56"/>
    <w:rsid w:val="281B09D9"/>
    <w:rsid w:val="28260032"/>
    <w:rsid w:val="28277E8C"/>
    <w:rsid w:val="282B0C73"/>
    <w:rsid w:val="282B2873"/>
    <w:rsid w:val="283D2292"/>
    <w:rsid w:val="285343B6"/>
    <w:rsid w:val="28555B4C"/>
    <w:rsid w:val="285C775E"/>
    <w:rsid w:val="286651CF"/>
    <w:rsid w:val="28671C46"/>
    <w:rsid w:val="2880450F"/>
    <w:rsid w:val="28817213"/>
    <w:rsid w:val="2885745E"/>
    <w:rsid w:val="28860A40"/>
    <w:rsid w:val="288B1F91"/>
    <w:rsid w:val="2897657D"/>
    <w:rsid w:val="289B1451"/>
    <w:rsid w:val="28A7603E"/>
    <w:rsid w:val="28AB19F4"/>
    <w:rsid w:val="28B30E3A"/>
    <w:rsid w:val="28C7309E"/>
    <w:rsid w:val="28CE346A"/>
    <w:rsid w:val="28D71E0B"/>
    <w:rsid w:val="28DC39BE"/>
    <w:rsid w:val="28DD5BCB"/>
    <w:rsid w:val="28E01F8A"/>
    <w:rsid w:val="28F045AC"/>
    <w:rsid w:val="28F85417"/>
    <w:rsid w:val="28FF7D52"/>
    <w:rsid w:val="29012112"/>
    <w:rsid w:val="29050B03"/>
    <w:rsid w:val="290E3D0C"/>
    <w:rsid w:val="29115393"/>
    <w:rsid w:val="29144474"/>
    <w:rsid w:val="291D583E"/>
    <w:rsid w:val="29243D56"/>
    <w:rsid w:val="2926654F"/>
    <w:rsid w:val="293A2040"/>
    <w:rsid w:val="293B5829"/>
    <w:rsid w:val="293D46F6"/>
    <w:rsid w:val="294E2BBE"/>
    <w:rsid w:val="294E4E26"/>
    <w:rsid w:val="29602BC4"/>
    <w:rsid w:val="29734F00"/>
    <w:rsid w:val="29754C24"/>
    <w:rsid w:val="297C4E20"/>
    <w:rsid w:val="299760C7"/>
    <w:rsid w:val="2999350D"/>
    <w:rsid w:val="299E7E78"/>
    <w:rsid w:val="29B759BC"/>
    <w:rsid w:val="29C8521C"/>
    <w:rsid w:val="29D60A95"/>
    <w:rsid w:val="29D94FA1"/>
    <w:rsid w:val="29E052C9"/>
    <w:rsid w:val="29E31604"/>
    <w:rsid w:val="29E3388E"/>
    <w:rsid w:val="29F87E04"/>
    <w:rsid w:val="2A12747B"/>
    <w:rsid w:val="2A174F9B"/>
    <w:rsid w:val="2A182924"/>
    <w:rsid w:val="2A1A7BC7"/>
    <w:rsid w:val="2A2D73EC"/>
    <w:rsid w:val="2A2E4CEB"/>
    <w:rsid w:val="2A3B565F"/>
    <w:rsid w:val="2A3F5A89"/>
    <w:rsid w:val="2A4F3BBF"/>
    <w:rsid w:val="2A555F3D"/>
    <w:rsid w:val="2A637C6C"/>
    <w:rsid w:val="2A645B0E"/>
    <w:rsid w:val="2A653259"/>
    <w:rsid w:val="2A674BBC"/>
    <w:rsid w:val="2A701993"/>
    <w:rsid w:val="2A8F4841"/>
    <w:rsid w:val="2A9E1BFE"/>
    <w:rsid w:val="2A9E697C"/>
    <w:rsid w:val="2AA369DD"/>
    <w:rsid w:val="2AAE39DE"/>
    <w:rsid w:val="2AB23D89"/>
    <w:rsid w:val="2AB32B2A"/>
    <w:rsid w:val="2AC55C66"/>
    <w:rsid w:val="2AD06022"/>
    <w:rsid w:val="2AD067C9"/>
    <w:rsid w:val="2AD63975"/>
    <w:rsid w:val="2ADD1B0D"/>
    <w:rsid w:val="2AEC47FC"/>
    <w:rsid w:val="2AF1331E"/>
    <w:rsid w:val="2AF81BE3"/>
    <w:rsid w:val="2AFF23A5"/>
    <w:rsid w:val="2B024C79"/>
    <w:rsid w:val="2B085BA8"/>
    <w:rsid w:val="2B0F5533"/>
    <w:rsid w:val="2B20324F"/>
    <w:rsid w:val="2B2257DB"/>
    <w:rsid w:val="2B26232E"/>
    <w:rsid w:val="2B2E4A0D"/>
    <w:rsid w:val="2B361003"/>
    <w:rsid w:val="2B3762A6"/>
    <w:rsid w:val="2B3C6641"/>
    <w:rsid w:val="2B4144E2"/>
    <w:rsid w:val="2B423577"/>
    <w:rsid w:val="2B4347DD"/>
    <w:rsid w:val="2B51786F"/>
    <w:rsid w:val="2B532272"/>
    <w:rsid w:val="2B5B0F6E"/>
    <w:rsid w:val="2B925FDF"/>
    <w:rsid w:val="2B97510E"/>
    <w:rsid w:val="2B9970F1"/>
    <w:rsid w:val="2BA57E3F"/>
    <w:rsid w:val="2BBA7363"/>
    <w:rsid w:val="2BC43D5D"/>
    <w:rsid w:val="2BD9047F"/>
    <w:rsid w:val="2BE01362"/>
    <w:rsid w:val="2BE352F3"/>
    <w:rsid w:val="2BE46810"/>
    <w:rsid w:val="2BE501C7"/>
    <w:rsid w:val="2BED2E55"/>
    <w:rsid w:val="2BF069DC"/>
    <w:rsid w:val="2C0028BD"/>
    <w:rsid w:val="2C006CB0"/>
    <w:rsid w:val="2C0269F8"/>
    <w:rsid w:val="2C0A4093"/>
    <w:rsid w:val="2C156FDF"/>
    <w:rsid w:val="2C1738CF"/>
    <w:rsid w:val="2C1945D8"/>
    <w:rsid w:val="2C1B1368"/>
    <w:rsid w:val="2C2030F5"/>
    <w:rsid w:val="2C252AFD"/>
    <w:rsid w:val="2C27277D"/>
    <w:rsid w:val="2C361480"/>
    <w:rsid w:val="2C3A0BF6"/>
    <w:rsid w:val="2C6404B6"/>
    <w:rsid w:val="2C6420B7"/>
    <w:rsid w:val="2C67335F"/>
    <w:rsid w:val="2C677DF8"/>
    <w:rsid w:val="2C6C7918"/>
    <w:rsid w:val="2C72569E"/>
    <w:rsid w:val="2C783906"/>
    <w:rsid w:val="2C7E3B86"/>
    <w:rsid w:val="2C88126B"/>
    <w:rsid w:val="2CB5787B"/>
    <w:rsid w:val="2CB65D9A"/>
    <w:rsid w:val="2CCA4381"/>
    <w:rsid w:val="2CCE3BE1"/>
    <w:rsid w:val="2CD066EE"/>
    <w:rsid w:val="2CD30F03"/>
    <w:rsid w:val="2CDE06BA"/>
    <w:rsid w:val="2CDF1B63"/>
    <w:rsid w:val="2CEE4744"/>
    <w:rsid w:val="2CF11E25"/>
    <w:rsid w:val="2CF1389A"/>
    <w:rsid w:val="2CF249BE"/>
    <w:rsid w:val="2CF92346"/>
    <w:rsid w:val="2CFC1554"/>
    <w:rsid w:val="2CFC5E51"/>
    <w:rsid w:val="2CFF3512"/>
    <w:rsid w:val="2D013765"/>
    <w:rsid w:val="2D055532"/>
    <w:rsid w:val="2D070D62"/>
    <w:rsid w:val="2D0A5E6E"/>
    <w:rsid w:val="2D0B7148"/>
    <w:rsid w:val="2D16731B"/>
    <w:rsid w:val="2D17770B"/>
    <w:rsid w:val="2D23171B"/>
    <w:rsid w:val="2D354DCA"/>
    <w:rsid w:val="2D466457"/>
    <w:rsid w:val="2D48403D"/>
    <w:rsid w:val="2D4C5FFB"/>
    <w:rsid w:val="2D505521"/>
    <w:rsid w:val="2D506084"/>
    <w:rsid w:val="2D5748B7"/>
    <w:rsid w:val="2D6E6943"/>
    <w:rsid w:val="2D746EB9"/>
    <w:rsid w:val="2D7E4AF7"/>
    <w:rsid w:val="2D8519AC"/>
    <w:rsid w:val="2D87777E"/>
    <w:rsid w:val="2D8E349F"/>
    <w:rsid w:val="2D9469E6"/>
    <w:rsid w:val="2D9D7A77"/>
    <w:rsid w:val="2DAF78FF"/>
    <w:rsid w:val="2DB53988"/>
    <w:rsid w:val="2DBA1E35"/>
    <w:rsid w:val="2DBD50E7"/>
    <w:rsid w:val="2DD93F77"/>
    <w:rsid w:val="2DDE7A41"/>
    <w:rsid w:val="2DE116CE"/>
    <w:rsid w:val="2DE373FB"/>
    <w:rsid w:val="2DEF20F0"/>
    <w:rsid w:val="2DF62DF6"/>
    <w:rsid w:val="2DFE0672"/>
    <w:rsid w:val="2E041306"/>
    <w:rsid w:val="2E0C007F"/>
    <w:rsid w:val="2E0F74CD"/>
    <w:rsid w:val="2E106E4C"/>
    <w:rsid w:val="2E1113A3"/>
    <w:rsid w:val="2E155331"/>
    <w:rsid w:val="2E167CCE"/>
    <w:rsid w:val="2E21419B"/>
    <w:rsid w:val="2E2339D3"/>
    <w:rsid w:val="2E246D3F"/>
    <w:rsid w:val="2E26642C"/>
    <w:rsid w:val="2E2732FE"/>
    <w:rsid w:val="2E336271"/>
    <w:rsid w:val="2E36469A"/>
    <w:rsid w:val="2E36581B"/>
    <w:rsid w:val="2E3F6F4F"/>
    <w:rsid w:val="2E497CE0"/>
    <w:rsid w:val="2E4A6DA0"/>
    <w:rsid w:val="2E4C211D"/>
    <w:rsid w:val="2E4D7F49"/>
    <w:rsid w:val="2E4E05E7"/>
    <w:rsid w:val="2E4E1129"/>
    <w:rsid w:val="2E4E4C94"/>
    <w:rsid w:val="2E544421"/>
    <w:rsid w:val="2E5A472E"/>
    <w:rsid w:val="2E5B5EA2"/>
    <w:rsid w:val="2E5E3058"/>
    <w:rsid w:val="2E621008"/>
    <w:rsid w:val="2E6446EB"/>
    <w:rsid w:val="2E644C6D"/>
    <w:rsid w:val="2E681DB2"/>
    <w:rsid w:val="2E7A5D97"/>
    <w:rsid w:val="2E7F0E61"/>
    <w:rsid w:val="2E7F686F"/>
    <w:rsid w:val="2E870765"/>
    <w:rsid w:val="2E8D0791"/>
    <w:rsid w:val="2E9732EC"/>
    <w:rsid w:val="2E9B39A1"/>
    <w:rsid w:val="2E9D5150"/>
    <w:rsid w:val="2EA94687"/>
    <w:rsid w:val="2EAD6AD6"/>
    <w:rsid w:val="2EAF6BB3"/>
    <w:rsid w:val="2EE5675B"/>
    <w:rsid w:val="2F047EE8"/>
    <w:rsid w:val="2F082414"/>
    <w:rsid w:val="2F085C75"/>
    <w:rsid w:val="2F2B12A9"/>
    <w:rsid w:val="2F4201CA"/>
    <w:rsid w:val="2F50070F"/>
    <w:rsid w:val="2F524A74"/>
    <w:rsid w:val="2F5A4B10"/>
    <w:rsid w:val="2F626907"/>
    <w:rsid w:val="2F6B035B"/>
    <w:rsid w:val="2F727CE6"/>
    <w:rsid w:val="2F735768"/>
    <w:rsid w:val="2F7505E3"/>
    <w:rsid w:val="2F78149C"/>
    <w:rsid w:val="2F812C06"/>
    <w:rsid w:val="2F956224"/>
    <w:rsid w:val="2F9A7BA6"/>
    <w:rsid w:val="2FA23A7C"/>
    <w:rsid w:val="2FA30525"/>
    <w:rsid w:val="2FB275EC"/>
    <w:rsid w:val="2FB449B9"/>
    <w:rsid w:val="2FBD105F"/>
    <w:rsid w:val="2FC73BC7"/>
    <w:rsid w:val="2FCF47FC"/>
    <w:rsid w:val="2FD128B8"/>
    <w:rsid w:val="2FD33F66"/>
    <w:rsid w:val="2FD408E0"/>
    <w:rsid w:val="2FD5001D"/>
    <w:rsid w:val="2FE311E4"/>
    <w:rsid w:val="2FE34AA0"/>
    <w:rsid w:val="2FEC279E"/>
    <w:rsid w:val="2FF33BE8"/>
    <w:rsid w:val="2FF608DC"/>
    <w:rsid w:val="2FFD0D74"/>
    <w:rsid w:val="2FFD3FAC"/>
    <w:rsid w:val="3004586C"/>
    <w:rsid w:val="30067266"/>
    <w:rsid w:val="300F56DE"/>
    <w:rsid w:val="301607F4"/>
    <w:rsid w:val="30160ACC"/>
    <w:rsid w:val="302858F5"/>
    <w:rsid w:val="3045081F"/>
    <w:rsid w:val="30455AC0"/>
    <w:rsid w:val="306825DD"/>
    <w:rsid w:val="30696A3C"/>
    <w:rsid w:val="307A7EFE"/>
    <w:rsid w:val="30834BF9"/>
    <w:rsid w:val="30901D38"/>
    <w:rsid w:val="30944718"/>
    <w:rsid w:val="309A02D0"/>
    <w:rsid w:val="30A31CBE"/>
    <w:rsid w:val="30A64922"/>
    <w:rsid w:val="30B60702"/>
    <w:rsid w:val="30C01078"/>
    <w:rsid w:val="30CF0FD9"/>
    <w:rsid w:val="30D540AA"/>
    <w:rsid w:val="30ED4619"/>
    <w:rsid w:val="30F34FAE"/>
    <w:rsid w:val="30FF169A"/>
    <w:rsid w:val="310A0E65"/>
    <w:rsid w:val="312C2424"/>
    <w:rsid w:val="312D72EF"/>
    <w:rsid w:val="3133127A"/>
    <w:rsid w:val="31353CD7"/>
    <w:rsid w:val="313E3AD9"/>
    <w:rsid w:val="313E620E"/>
    <w:rsid w:val="313E6CDE"/>
    <w:rsid w:val="314254AD"/>
    <w:rsid w:val="31462E3B"/>
    <w:rsid w:val="31522D74"/>
    <w:rsid w:val="316F42A9"/>
    <w:rsid w:val="31727F68"/>
    <w:rsid w:val="317662E9"/>
    <w:rsid w:val="317C63D3"/>
    <w:rsid w:val="31946A67"/>
    <w:rsid w:val="31954796"/>
    <w:rsid w:val="31962DAE"/>
    <w:rsid w:val="31995BC3"/>
    <w:rsid w:val="319F0073"/>
    <w:rsid w:val="31AA7FB9"/>
    <w:rsid w:val="31B61646"/>
    <w:rsid w:val="31B9498A"/>
    <w:rsid w:val="31BC58DA"/>
    <w:rsid w:val="31C433C3"/>
    <w:rsid w:val="31D16AC8"/>
    <w:rsid w:val="31DD3572"/>
    <w:rsid w:val="31E83834"/>
    <w:rsid w:val="31EE64B9"/>
    <w:rsid w:val="320342B1"/>
    <w:rsid w:val="32044DED"/>
    <w:rsid w:val="32051176"/>
    <w:rsid w:val="320C562E"/>
    <w:rsid w:val="32221E3D"/>
    <w:rsid w:val="322A3D57"/>
    <w:rsid w:val="322D1BFD"/>
    <w:rsid w:val="322E6E1B"/>
    <w:rsid w:val="324A795C"/>
    <w:rsid w:val="324B22D2"/>
    <w:rsid w:val="32575E9A"/>
    <w:rsid w:val="325C3AF5"/>
    <w:rsid w:val="325C5B7B"/>
    <w:rsid w:val="326B5445"/>
    <w:rsid w:val="327A0FE8"/>
    <w:rsid w:val="329F684F"/>
    <w:rsid w:val="32B26B6D"/>
    <w:rsid w:val="32BC587E"/>
    <w:rsid w:val="32BF4FDB"/>
    <w:rsid w:val="32C92CF9"/>
    <w:rsid w:val="32E16709"/>
    <w:rsid w:val="32EC54BB"/>
    <w:rsid w:val="32ED2CF0"/>
    <w:rsid w:val="32EE4440"/>
    <w:rsid w:val="32F16461"/>
    <w:rsid w:val="32F543D4"/>
    <w:rsid w:val="32F96ACA"/>
    <w:rsid w:val="330258B3"/>
    <w:rsid w:val="33054642"/>
    <w:rsid w:val="33056601"/>
    <w:rsid w:val="330865C8"/>
    <w:rsid w:val="330D2C48"/>
    <w:rsid w:val="331007BA"/>
    <w:rsid w:val="33106E3B"/>
    <w:rsid w:val="3313489C"/>
    <w:rsid w:val="33294383"/>
    <w:rsid w:val="33315F96"/>
    <w:rsid w:val="333E4968"/>
    <w:rsid w:val="333F4524"/>
    <w:rsid w:val="334A28B5"/>
    <w:rsid w:val="334B6519"/>
    <w:rsid w:val="334F5C93"/>
    <w:rsid w:val="33527C2F"/>
    <w:rsid w:val="335D5DB2"/>
    <w:rsid w:val="33735C77"/>
    <w:rsid w:val="33751FF6"/>
    <w:rsid w:val="337E28B4"/>
    <w:rsid w:val="338C5B48"/>
    <w:rsid w:val="33951969"/>
    <w:rsid w:val="339568F2"/>
    <w:rsid w:val="339B5E01"/>
    <w:rsid w:val="33A31D7A"/>
    <w:rsid w:val="33AA098C"/>
    <w:rsid w:val="33B878BA"/>
    <w:rsid w:val="33BF5206"/>
    <w:rsid w:val="33D03F11"/>
    <w:rsid w:val="33D163EF"/>
    <w:rsid w:val="33D43249"/>
    <w:rsid w:val="33D45DFD"/>
    <w:rsid w:val="33DC6622"/>
    <w:rsid w:val="33DF5ABE"/>
    <w:rsid w:val="33E107F9"/>
    <w:rsid w:val="33E605A3"/>
    <w:rsid w:val="33E706E6"/>
    <w:rsid w:val="33F14703"/>
    <w:rsid w:val="33F57B3C"/>
    <w:rsid w:val="33F7797D"/>
    <w:rsid w:val="33FD22BD"/>
    <w:rsid w:val="3406027F"/>
    <w:rsid w:val="34255A9B"/>
    <w:rsid w:val="3426758B"/>
    <w:rsid w:val="342F3DB9"/>
    <w:rsid w:val="343D3142"/>
    <w:rsid w:val="345A0509"/>
    <w:rsid w:val="345B2367"/>
    <w:rsid w:val="34641546"/>
    <w:rsid w:val="34672008"/>
    <w:rsid w:val="34720636"/>
    <w:rsid w:val="34794704"/>
    <w:rsid w:val="34842CBD"/>
    <w:rsid w:val="34843CA1"/>
    <w:rsid w:val="348621CE"/>
    <w:rsid w:val="348B5095"/>
    <w:rsid w:val="348D1A8C"/>
    <w:rsid w:val="34994CFC"/>
    <w:rsid w:val="349C31F7"/>
    <w:rsid w:val="34A54544"/>
    <w:rsid w:val="34AE0539"/>
    <w:rsid w:val="34AF3083"/>
    <w:rsid w:val="34B017ED"/>
    <w:rsid w:val="34B15FE5"/>
    <w:rsid w:val="34C20AA1"/>
    <w:rsid w:val="34C40ED9"/>
    <w:rsid w:val="34CB28F5"/>
    <w:rsid w:val="34CC3677"/>
    <w:rsid w:val="34CC46B6"/>
    <w:rsid w:val="34CD5068"/>
    <w:rsid w:val="34CE2B5B"/>
    <w:rsid w:val="34D747C2"/>
    <w:rsid w:val="34E56664"/>
    <w:rsid w:val="34E768F2"/>
    <w:rsid w:val="34E944F6"/>
    <w:rsid w:val="34E94AA0"/>
    <w:rsid w:val="34EA0AE1"/>
    <w:rsid w:val="34F00667"/>
    <w:rsid w:val="34F15B96"/>
    <w:rsid w:val="34F44E6F"/>
    <w:rsid w:val="34F96E62"/>
    <w:rsid w:val="35072EAD"/>
    <w:rsid w:val="35091B4D"/>
    <w:rsid w:val="350960B1"/>
    <w:rsid w:val="350D619B"/>
    <w:rsid w:val="35150114"/>
    <w:rsid w:val="351608A7"/>
    <w:rsid w:val="3520607A"/>
    <w:rsid w:val="352064D2"/>
    <w:rsid w:val="35217336"/>
    <w:rsid w:val="3525563E"/>
    <w:rsid w:val="35290A77"/>
    <w:rsid w:val="352A0B4B"/>
    <w:rsid w:val="35356F10"/>
    <w:rsid w:val="35397B62"/>
    <w:rsid w:val="354840CB"/>
    <w:rsid w:val="3549001F"/>
    <w:rsid w:val="354D1D05"/>
    <w:rsid w:val="355C013C"/>
    <w:rsid w:val="3565420B"/>
    <w:rsid w:val="35662569"/>
    <w:rsid w:val="356A601B"/>
    <w:rsid w:val="356F599A"/>
    <w:rsid w:val="357716CF"/>
    <w:rsid w:val="35827B62"/>
    <w:rsid w:val="3583595D"/>
    <w:rsid w:val="35841013"/>
    <w:rsid w:val="3585695C"/>
    <w:rsid w:val="358B79C9"/>
    <w:rsid w:val="359A00B9"/>
    <w:rsid w:val="359C7CB6"/>
    <w:rsid w:val="35BF7AA4"/>
    <w:rsid w:val="35C93DF3"/>
    <w:rsid w:val="35CB155A"/>
    <w:rsid w:val="35E930F7"/>
    <w:rsid w:val="35F853BB"/>
    <w:rsid w:val="35FB1676"/>
    <w:rsid w:val="360120A7"/>
    <w:rsid w:val="360B16E9"/>
    <w:rsid w:val="360C5F28"/>
    <w:rsid w:val="36115B7F"/>
    <w:rsid w:val="361526DE"/>
    <w:rsid w:val="36225127"/>
    <w:rsid w:val="36237E20"/>
    <w:rsid w:val="36256291"/>
    <w:rsid w:val="36286678"/>
    <w:rsid w:val="362979CB"/>
    <w:rsid w:val="362D735D"/>
    <w:rsid w:val="36336539"/>
    <w:rsid w:val="36371706"/>
    <w:rsid w:val="363803C7"/>
    <w:rsid w:val="363F5D58"/>
    <w:rsid w:val="364E2CE9"/>
    <w:rsid w:val="36551581"/>
    <w:rsid w:val="36560C0B"/>
    <w:rsid w:val="365B28AF"/>
    <w:rsid w:val="36616FC9"/>
    <w:rsid w:val="36641D94"/>
    <w:rsid w:val="366A7ED3"/>
    <w:rsid w:val="36712764"/>
    <w:rsid w:val="367620D2"/>
    <w:rsid w:val="3679299D"/>
    <w:rsid w:val="3686664E"/>
    <w:rsid w:val="3689139F"/>
    <w:rsid w:val="368C6A1D"/>
    <w:rsid w:val="369608CE"/>
    <w:rsid w:val="36963B69"/>
    <w:rsid w:val="369B2954"/>
    <w:rsid w:val="36A238B1"/>
    <w:rsid w:val="36B27C7A"/>
    <w:rsid w:val="36BA0FCB"/>
    <w:rsid w:val="36C1037B"/>
    <w:rsid w:val="36C9319E"/>
    <w:rsid w:val="36D067A6"/>
    <w:rsid w:val="36D46F18"/>
    <w:rsid w:val="36EF385B"/>
    <w:rsid w:val="36F57F10"/>
    <w:rsid w:val="36FC4486"/>
    <w:rsid w:val="37070D11"/>
    <w:rsid w:val="3710710F"/>
    <w:rsid w:val="37175525"/>
    <w:rsid w:val="371A5AC4"/>
    <w:rsid w:val="371B2276"/>
    <w:rsid w:val="37201F64"/>
    <w:rsid w:val="373F53DD"/>
    <w:rsid w:val="37461780"/>
    <w:rsid w:val="37497E7D"/>
    <w:rsid w:val="375948AC"/>
    <w:rsid w:val="376B28D6"/>
    <w:rsid w:val="376C5D00"/>
    <w:rsid w:val="376D427E"/>
    <w:rsid w:val="376E276D"/>
    <w:rsid w:val="37724E83"/>
    <w:rsid w:val="377C31ED"/>
    <w:rsid w:val="379606E1"/>
    <w:rsid w:val="37983FB2"/>
    <w:rsid w:val="379850C2"/>
    <w:rsid w:val="379D4DCD"/>
    <w:rsid w:val="37A025DA"/>
    <w:rsid w:val="37A04E93"/>
    <w:rsid w:val="37A25A9F"/>
    <w:rsid w:val="37A31CDF"/>
    <w:rsid w:val="37AB1B65"/>
    <w:rsid w:val="37B20E7F"/>
    <w:rsid w:val="37B25C6C"/>
    <w:rsid w:val="37C402D4"/>
    <w:rsid w:val="37CF154C"/>
    <w:rsid w:val="37EA0A17"/>
    <w:rsid w:val="37F606C6"/>
    <w:rsid w:val="38067B18"/>
    <w:rsid w:val="38087AC7"/>
    <w:rsid w:val="380A7603"/>
    <w:rsid w:val="380B0BB2"/>
    <w:rsid w:val="380C0393"/>
    <w:rsid w:val="380D32F1"/>
    <w:rsid w:val="380D5D0D"/>
    <w:rsid w:val="38196915"/>
    <w:rsid w:val="382F2C1E"/>
    <w:rsid w:val="382F499D"/>
    <w:rsid w:val="3860038E"/>
    <w:rsid w:val="38716CD9"/>
    <w:rsid w:val="38801C6C"/>
    <w:rsid w:val="38834A3E"/>
    <w:rsid w:val="38851608"/>
    <w:rsid w:val="38866017"/>
    <w:rsid w:val="38942A14"/>
    <w:rsid w:val="38957564"/>
    <w:rsid w:val="38A45712"/>
    <w:rsid w:val="38A47DD9"/>
    <w:rsid w:val="38B04451"/>
    <w:rsid w:val="38B41DF3"/>
    <w:rsid w:val="38BA4623"/>
    <w:rsid w:val="38BC68BD"/>
    <w:rsid w:val="38BD5EB6"/>
    <w:rsid w:val="38C84790"/>
    <w:rsid w:val="38CC1F91"/>
    <w:rsid w:val="38CC35B4"/>
    <w:rsid w:val="38D10166"/>
    <w:rsid w:val="38E7519A"/>
    <w:rsid w:val="38EA5FB0"/>
    <w:rsid w:val="38FF381C"/>
    <w:rsid w:val="3908401F"/>
    <w:rsid w:val="3908621E"/>
    <w:rsid w:val="39203273"/>
    <w:rsid w:val="39207FD2"/>
    <w:rsid w:val="39300FA9"/>
    <w:rsid w:val="3930387E"/>
    <w:rsid w:val="3933207C"/>
    <w:rsid w:val="393C2E57"/>
    <w:rsid w:val="394668D6"/>
    <w:rsid w:val="394B37F2"/>
    <w:rsid w:val="394C5A0D"/>
    <w:rsid w:val="39530C1B"/>
    <w:rsid w:val="39532C2F"/>
    <w:rsid w:val="39714A55"/>
    <w:rsid w:val="397458FC"/>
    <w:rsid w:val="398C2C91"/>
    <w:rsid w:val="39985F30"/>
    <w:rsid w:val="39C72C62"/>
    <w:rsid w:val="39C80DC7"/>
    <w:rsid w:val="39C82B9C"/>
    <w:rsid w:val="39D3500A"/>
    <w:rsid w:val="39D96419"/>
    <w:rsid w:val="39DB057E"/>
    <w:rsid w:val="39E55169"/>
    <w:rsid w:val="39E75A27"/>
    <w:rsid w:val="39E84553"/>
    <w:rsid w:val="39E86F30"/>
    <w:rsid w:val="39F374A0"/>
    <w:rsid w:val="39F4018B"/>
    <w:rsid w:val="39F4143C"/>
    <w:rsid w:val="39F72E22"/>
    <w:rsid w:val="39F847AF"/>
    <w:rsid w:val="3A0926D8"/>
    <w:rsid w:val="3A094E52"/>
    <w:rsid w:val="3A144A89"/>
    <w:rsid w:val="3A174971"/>
    <w:rsid w:val="3A191236"/>
    <w:rsid w:val="3A194117"/>
    <w:rsid w:val="3A2044B9"/>
    <w:rsid w:val="3A234B2E"/>
    <w:rsid w:val="3A273045"/>
    <w:rsid w:val="3A2D66B8"/>
    <w:rsid w:val="3A36522F"/>
    <w:rsid w:val="3A375D56"/>
    <w:rsid w:val="3A3E4729"/>
    <w:rsid w:val="3A521589"/>
    <w:rsid w:val="3A5D1B84"/>
    <w:rsid w:val="3A5F45D1"/>
    <w:rsid w:val="3A675D63"/>
    <w:rsid w:val="3A6B7FBB"/>
    <w:rsid w:val="3A7257F0"/>
    <w:rsid w:val="3A843A00"/>
    <w:rsid w:val="3A935D24"/>
    <w:rsid w:val="3A9F7948"/>
    <w:rsid w:val="3AA02CE4"/>
    <w:rsid w:val="3AA628ED"/>
    <w:rsid w:val="3AAB6C4F"/>
    <w:rsid w:val="3AAC6356"/>
    <w:rsid w:val="3AB202B5"/>
    <w:rsid w:val="3AB23C38"/>
    <w:rsid w:val="3AB9031E"/>
    <w:rsid w:val="3ABA4B72"/>
    <w:rsid w:val="3AC22405"/>
    <w:rsid w:val="3AC76FD5"/>
    <w:rsid w:val="3ACB4184"/>
    <w:rsid w:val="3ACE1617"/>
    <w:rsid w:val="3ACF398B"/>
    <w:rsid w:val="3AD31906"/>
    <w:rsid w:val="3AD969F8"/>
    <w:rsid w:val="3ADA3F1A"/>
    <w:rsid w:val="3AE274F9"/>
    <w:rsid w:val="3AED1AD3"/>
    <w:rsid w:val="3AFD1BC4"/>
    <w:rsid w:val="3B25439A"/>
    <w:rsid w:val="3B292DA0"/>
    <w:rsid w:val="3B4C622A"/>
    <w:rsid w:val="3B514E5E"/>
    <w:rsid w:val="3B5427BC"/>
    <w:rsid w:val="3B5E4383"/>
    <w:rsid w:val="3B65256F"/>
    <w:rsid w:val="3B6E7E57"/>
    <w:rsid w:val="3B7343E3"/>
    <w:rsid w:val="3B755E1C"/>
    <w:rsid w:val="3B764017"/>
    <w:rsid w:val="3B7F36AC"/>
    <w:rsid w:val="3B822235"/>
    <w:rsid w:val="3B8334A3"/>
    <w:rsid w:val="3B861D2E"/>
    <w:rsid w:val="3B8876F7"/>
    <w:rsid w:val="3B965B95"/>
    <w:rsid w:val="3B9B1BC5"/>
    <w:rsid w:val="3BA2309F"/>
    <w:rsid w:val="3BC25680"/>
    <w:rsid w:val="3BCD449D"/>
    <w:rsid w:val="3BD4695E"/>
    <w:rsid w:val="3BD653F5"/>
    <w:rsid w:val="3BE16ECF"/>
    <w:rsid w:val="3BE91D8C"/>
    <w:rsid w:val="3C0C1744"/>
    <w:rsid w:val="3C117898"/>
    <w:rsid w:val="3C211965"/>
    <w:rsid w:val="3C2352A0"/>
    <w:rsid w:val="3C2E4357"/>
    <w:rsid w:val="3C4708A1"/>
    <w:rsid w:val="3C4B0ED5"/>
    <w:rsid w:val="3C5C7DA9"/>
    <w:rsid w:val="3C7544C5"/>
    <w:rsid w:val="3C790143"/>
    <w:rsid w:val="3C7B6C61"/>
    <w:rsid w:val="3C8904DF"/>
    <w:rsid w:val="3CA432A0"/>
    <w:rsid w:val="3CA91418"/>
    <w:rsid w:val="3CAF061D"/>
    <w:rsid w:val="3CB63CA9"/>
    <w:rsid w:val="3CBC1B56"/>
    <w:rsid w:val="3CBD3105"/>
    <w:rsid w:val="3CBD75BF"/>
    <w:rsid w:val="3CC33BCC"/>
    <w:rsid w:val="3CCB0903"/>
    <w:rsid w:val="3CCF7FFC"/>
    <w:rsid w:val="3CD043D5"/>
    <w:rsid w:val="3CD641A1"/>
    <w:rsid w:val="3CE2490A"/>
    <w:rsid w:val="3CEA648A"/>
    <w:rsid w:val="3CF70A12"/>
    <w:rsid w:val="3D076AAE"/>
    <w:rsid w:val="3D0870AB"/>
    <w:rsid w:val="3D1502D9"/>
    <w:rsid w:val="3D1D0C51"/>
    <w:rsid w:val="3D304DCB"/>
    <w:rsid w:val="3D350662"/>
    <w:rsid w:val="3D406176"/>
    <w:rsid w:val="3D4F0E5B"/>
    <w:rsid w:val="3D54230E"/>
    <w:rsid w:val="3D555673"/>
    <w:rsid w:val="3D5657CC"/>
    <w:rsid w:val="3D5D2E26"/>
    <w:rsid w:val="3D627E02"/>
    <w:rsid w:val="3D6A54CD"/>
    <w:rsid w:val="3D6C74FD"/>
    <w:rsid w:val="3D6D4167"/>
    <w:rsid w:val="3D6D72DE"/>
    <w:rsid w:val="3D876DDA"/>
    <w:rsid w:val="3D8C435B"/>
    <w:rsid w:val="3D8E5ECA"/>
    <w:rsid w:val="3D8F0A2E"/>
    <w:rsid w:val="3D926692"/>
    <w:rsid w:val="3D947997"/>
    <w:rsid w:val="3D966256"/>
    <w:rsid w:val="3DAA0159"/>
    <w:rsid w:val="3DB21166"/>
    <w:rsid w:val="3DB52FFB"/>
    <w:rsid w:val="3DB932B8"/>
    <w:rsid w:val="3DD86EA7"/>
    <w:rsid w:val="3DDB0FBF"/>
    <w:rsid w:val="3DDD336B"/>
    <w:rsid w:val="3DDF3C84"/>
    <w:rsid w:val="3DF33233"/>
    <w:rsid w:val="3DF55B8D"/>
    <w:rsid w:val="3DF60CA1"/>
    <w:rsid w:val="3DF740D2"/>
    <w:rsid w:val="3DF9770F"/>
    <w:rsid w:val="3E107D22"/>
    <w:rsid w:val="3E1861E9"/>
    <w:rsid w:val="3E1D4DB4"/>
    <w:rsid w:val="3E277BDA"/>
    <w:rsid w:val="3E2942BE"/>
    <w:rsid w:val="3E300439"/>
    <w:rsid w:val="3E320B89"/>
    <w:rsid w:val="3E3906BC"/>
    <w:rsid w:val="3E3F56AB"/>
    <w:rsid w:val="3E494ED3"/>
    <w:rsid w:val="3E4C65C6"/>
    <w:rsid w:val="3E5648B2"/>
    <w:rsid w:val="3E684241"/>
    <w:rsid w:val="3E75521D"/>
    <w:rsid w:val="3E7A7FAE"/>
    <w:rsid w:val="3E83245B"/>
    <w:rsid w:val="3E8412E9"/>
    <w:rsid w:val="3E866689"/>
    <w:rsid w:val="3E9328AF"/>
    <w:rsid w:val="3E95067F"/>
    <w:rsid w:val="3E9A4AD7"/>
    <w:rsid w:val="3E9C33E3"/>
    <w:rsid w:val="3E9C501E"/>
    <w:rsid w:val="3EA37D09"/>
    <w:rsid w:val="3EBC27E6"/>
    <w:rsid w:val="3EC226D1"/>
    <w:rsid w:val="3EC70972"/>
    <w:rsid w:val="3ECF4AA3"/>
    <w:rsid w:val="3ED32513"/>
    <w:rsid w:val="3ED84EF8"/>
    <w:rsid w:val="3EDC10D0"/>
    <w:rsid w:val="3EE02D91"/>
    <w:rsid w:val="3EE10368"/>
    <w:rsid w:val="3EF13BC7"/>
    <w:rsid w:val="3EF44FD4"/>
    <w:rsid w:val="3EF53D00"/>
    <w:rsid w:val="3F035371"/>
    <w:rsid w:val="3F0A4250"/>
    <w:rsid w:val="3F0C4369"/>
    <w:rsid w:val="3F0E021D"/>
    <w:rsid w:val="3F104904"/>
    <w:rsid w:val="3F116F3C"/>
    <w:rsid w:val="3F212A90"/>
    <w:rsid w:val="3F2C4235"/>
    <w:rsid w:val="3F2F35EC"/>
    <w:rsid w:val="3F2F53AA"/>
    <w:rsid w:val="3F3603B6"/>
    <w:rsid w:val="3F505DCB"/>
    <w:rsid w:val="3F5D2E4D"/>
    <w:rsid w:val="3F5F1F5C"/>
    <w:rsid w:val="3F6A5EE0"/>
    <w:rsid w:val="3F751F35"/>
    <w:rsid w:val="3F7B5508"/>
    <w:rsid w:val="3F8313C0"/>
    <w:rsid w:val="3F8A14CB"/>
    <w:rsid w:val="3F933E45"/>
    <w:rsid w:val="3F9364E1"/>
    <w:rsid w:val="3F9829AD"/>
    <w:rsid w:val="3F9E0865"/>
    <w:rsid w:val="3FA5009E"/>
    <w:rsid w:val="3FBB16BD"/>
    <w:rsid w:val="3FBB6D1B"/>
    <w:rsid w:val="3FCC037B"/>
    <w:rsid w:val="3FD50D82"/>
    <w:rsid w:val="3FDB1475"/>
    <w:rsid w:val="3FDE5AD9"/>
    <w:rsid w:val="3FE430B6"/>
    <w:rsid w:val="3FE56AF2"/>
    <w:rsid w:val="3FEC1461"/>
    <w:rsid w:val="3FEF205C"/>
    <w:rsid w:val="3FF019F4"/>
    <w:rsid w:val="400039DF"/>
    <w:rsid w:val="40080DEE"/>
    <w:rsid w:val="40135220"/>
    <w:rsid w:val="401C7BD5"/>
    <w:rsid w:val="40227083"/>
    <w:rsid w:val="402417C8"/>
    <w:rsid w:val="402E6E49"/>
    <w:rsid w:val="40372073"/>
    <w:rsid w:val="403A0075"/>
    <w:rsid w:val="403A6B81"/>
    <w:rsid w:val="403B30DF"/>
    <w:rsid w:val="403F1D98"/>
    <w:rsid w:val="404F52A8"/>
    <w:rsid w:val="40522979"/>
    <w:rsid w:val="4053224E"/>
    <w:rsid w:val="405443FA"/>
    <w:rsid w:val="40585F20"/>
    <w:rsid w:val="4068375B"/>
    <w:rsid w:val="40A100CD"/>
    <w:rsid w:val="40A82619"/>
    <w:rsid w:val="40B6211F"/>
    <w:rsid w:val="40C2573C"/>
    <w:rsid w:val="40CD4120"/>
    <w:rsid w:val="40D34024"/>
    <w:rsid w:val="40D43BA0"/>
    <w:rsid w:val="40DB2C76"/>
    <w:rsid w:val="40E01030"/>
    <w:rsid w:val="40E241CE"/>
    <w:rsid w:val="40E51007"/>
    <w:rsid w:val="40E543FB"/>
    <w:rsid w:val="40E75B26"/>
    <w:rsid w:val="40EA1C0C"/>
    <w:rsid w:val="40EA78D7"/>
    <w:rsid w:val="40EC6C70"/>
    <w:rsid w:val="40EF076E"/>
    <w:rsid w:val="40F42ED9"/>
    <w:rsid w:val="41046039"/>
    <w:rsid w:val="41055305"/>
    <w:rsid w:val="410F42EE"/>
    <w:rsid w:val="41114BBA"/>
    <w:rsid w:val="41153D55"/>
    <w:rsid w:val="411C7CCB"/>
    <w:rsid w:val="412912D7"/>
    <w:rsid w:val="41366B89"/>
    <w:rsid w:val="413C2838"/>
    <w:rsid w:val="416163D3"/>
    <w:rsid w:val="41643D6B"/>
    <w:rsid w:val="41771599"/>
    <w:rsid w:val="418164BE"/>
    <w:rsid w:val="41846039"/>
    <w:rsid w:val="41895256"/>
    <w:rsid w:val="419E6238"/>
    <w:rsid w:val="41A04E11"/>
    <w:rsid w:val="41AA4418"/>
    <w:rsid w:val="41C11C6F"/>
    <w:rsid w:val="41C6181D"/>
    <w:rsid w:val="41C86EE6"/>
    <w:rsid w:val="41C952EA"/>
    <w:rsid w:val="41CB6BA4"/>
    <w:rsid w:val="41DB0F0D"/>
    <w:rsid w:val="41DF32B5"/>
    <w:rsid w:val="41EC7E80"/>
    <w:rsid w:val="41EE0759"/>
    <w:rsid w:val="41F06F3B"/>
    <w:rsid w:val="41FD1AA1"/>
    <w:rsid w:val="420558C2"/>
    <w:rsid w:val="42057B28"/>
    <w:rsid w:val="421052B2"/>
    <w:rsid w:val="42190CC2"/>
    <w:rsid w:val="42230B1C"/>
    <w:rsid w:val="42274BF1"/>
    <w:rsid w:val="422E3E2B"/>
    <w:rsid w:val="422F36E3"/>
    <w:rsid w:val="42307D25"/>
    <w:rsid w:val="42407C97"/>
    <w:rsid w:val="42491125"/>
    <w:rsid w:val="425C634D"/>
    <w:rsid w:val="42680DCC"/>
    <w:rsid w:val="427A44C2"/>
    <w:rsid w:val="42826BB4"/>
    <w:rsid w:val="42880654"/>
    <w:rsid w:val="42895F72"/>
    <w:rsid w:val="428A5B21"/>
    <w:rsid w:val="428D14EF"/>
    <w:rsid w:val="4296187E"/>
    <w:rsid w:val="42A65AF0"/>
    <w:rsid w:val="42A76AEC"/>
    <w:rsid w:val="42AD56C6"/>
    <w:rsid w:val="42B973E3"/>
    <w:rsid w:val="42F17878"/>
    <w:rsid w:val="42F33853"/>
    <w:rsid w:val="42FF71DC"/>
    <w:rsid w:val="42FF7548"/>
    <w:rsid w:val="43006D78"/>
    <w:rsid w:val="43217EC6"/>
    <w:rsid w:val="432261CB"/>
    <w:rsid w:val="432B1FC3"/>
    <w:rsid w:val="43383591"/>
    <w:rsid w:val="434C3974"/>
    <w:rsid w:val="434D155D"/>
    <w:rsid w:val="43594292"/>
    <w:rsid w:val="435E53D9"/>
    <w:rsid w:val="43617633"/>
    <w:rsid w:val="43671945"/>
    <w:rsid w:val="436B4229"/>
    <w:rsid w:val="436C698F"/>
    <w:rsid w:val="43726DA6"/>
    <w:rsid w:val="437A0D2C"/>
    <w:rsid w:val="437E0430"/>
    <w:rsid w:val="438607EE"/>
    <w:rsid w:val="43911F91"/>
    <w:rsid w:val="4394491A"/>
    <w:rsid w:val="43997A97"/>
    <w:rsid w:val="439B27FA"/>
    <w:rsid w:val="43AA1238"/>
    <w:rsid w:val="43B13F5C"/>
    <w:rsid w:val="43B16683"/>
    <w:rsid w:val="43B255DB"/>
    <w:rsid w:val="43BD07B0"/>
    <w:rsid w:val="43BD5DE5"/>
    <w:rsid w:val="43C17B79"/>
    <w:rsid w:val="43CA6D64"/>
    <w:rsid w:val="43D37F73"/>
    <w:rsid w:val="43D65E39"/>
    <w:rsid w:val="43D6606E"/>
    <w:rsid w:val="43EF211F"/>
    <w:rsid w:val="43FE3B45"/>
    <w:rsid w:val="440575E0"/>
    <w:rsid w:val="44084567"/>
    <w:rsid w:val="440A2436"/>
    <w:rsid w:val="441111D7"/>
    <w:rsid w:val="441C5406"/>
    <w:rsid w:val="44243658"/>
    <w:rsid w:val="442537CE"/>
    <w:rsid w:val="4427452D"/>
    <w:rsid w:val="44286169"/>
    <w:rsid w:val="444C64B0"/>
    <w:rsid w:val="444D54BA"/>
    <w:rsid w:val="44523338"/>
    <w:rsid w:val="445466AB"/>
    <w:rsid w:val="44685683"/>
    <w:rsid w:val="446915D3"/>
    <w:rsid w:val="446E2A13"/>
    <w:rsid w:val="446E4162"/>
    <w:rsid w:val="446E6C1A"/>
    <w:rsid w:val="44742FDB"/>
    <w:rsid w:val="44785D2C"/>
    <w:rsid w:val="448B2102"/>
    <w:rsid w:val="449D508C"/>
    <w:rsid w:val="44A17386"/>
    <w:rsid w:val="44B13D1C"/>
    <w:rsid w:val="44B15AF7"/>
    <w:rsid w:val="44B36E39"/>
    <w:rsid w:val="44B5382F"/>
    <w:rsid w:val="44C35AE0"/>
    <w:rsid w:val="44EB4184"/>
    <w:rsid w:val="44EC7013"/>
    <w:rsid w:val="44EF65A4"/>
    <w:rsid w:val="44F02519"/>
    <w:rsid w:val="44F41E19"/>
    <w:rsid w:val="44FB3AE3"/>
    <w:rsid w:val="44FF3C64"/>
    <w:rsid w:val="45020724"/>
    <w:rsid w:val="45057DFF"/>
    <w:rsid w:val="45061393"/>
    <w:rsid w:val="452454F2"/>
    <w:rsid w:val="452F099B"/>
    <w:rsid w:val="45302F9D"/>
    <w:rsid w:val="4530392C"/>
    <w:rsid w:val="4537221B"/>
    <w:rsid w:val="45427AA4"/>
    <w:rsid w:val="45465B65"/>
    <w:rsid w:val="45494235"/>
    <w:rsid w:val="45496FEB"/>
    <w:rsid w:val="454A33D5"/>
    <w:rsid w:val="454A4868"/>
    <w:rsid w:val="454B37A7"/>
    <w:rsid w:val="45515DC5"/>
    <w:rsid w:val="4552496F"/>
    <w:rsid w:val="455454A2"/>
    <w:rsid w:val="45564CA5"/>
    <w:rsid w:val="455B6233"/>
    <w:rsid w:val="45620AE1"/>
    <w:rsid w:val="456A6A48"/>
    <w:rsid w:val="457C3D14"/>
    <w:rsid w:val="45803914"/>
    <w:rsid w:val="45812191"/>
    <w:rsid w:val="45865E2C"/>
    <w:rsid w:val="45911A43"/>
    <w:rsid w:val="45932AB7"/>
    <w:rsid w:val="45A16423"/>
    <w:rsid w:val="45A24E61"/>
    <w:rsid w:val="45A26253"/>
    <w:rsid w:val="45B457B5"/>
    <w:rsid w:val="45D45B14"/>
    <w:rsid w:val="45DE2657"/>
    <w:rsid w:val="45EE5265"/>
    <w:rsid w:val="45F10750"/>
    <w:rsid w:val="45F10EC5"/>
    <w:rsid w:val="45F468CD"/>
    <w:rsid w:val="45F6087F"/>
    <w:rsid w:val="45F91D99"/>
    <w:rsid w:val="46084CE9"/>
    <w:rsid w:val="460F4303"/>
    <w:rsid w:val="46104122"/>
    <w:rsid w:val="46145D8A"/>
    <w:rsid w:val="4616768B"/>
    <w:rsid w:val="462E7E70"/>
    <w:rsid w:val="463144E8"/>
    <w:rsid w:val="46316935"/>
    <w:rsid w:val="463446BC"/>
    <w:rsid w:val="46352BE8"/>
    <w:rsid w:val="463977E7"/>
    <w:rsid w:val="46414DD4"/>
    <w:rsid w:val="46523D01"/>
    <w:rsid w:val="466317E7"/>
    <w:rsid w:val="466E3CCD"/>
    <w:rsid w:val="4676381B"/>
    <w:rsid w:val="46770DC9"/>
    <w:rsid w:val="467744FD"/>
    <w:rsid w:val="46952BDB"/>
    <w:rsid w:val="46A62763"/>
    <w:rsid w:val="46A72F69"/>
    <w:rsid w:val="46A746F1"/>
    <w:rsid w:val="46A9603F"/>
    <w:rsid w:val="46AB7213"/>
    <w:rsid w:val="46AF30F0"/>
    <w:rsid w:val="46B87DA9"/>
    <w:rsid w:val="46C151AC"/>
    <w:rsid w:val="46C9564B"/>
    <w:rsid w:val="46CD4878"/>
    <w:rsid w:val="46CE6E39"/>
    <w:rsid w:val="46D046FE"/>
    <w:rsid w:val="46D06D98"/>
    <w:rsid w:val="46D67A95"/>
    <w:rsid w:val="46DA4E4A"/>
    <w:rsid w:val="46E12276"/>
    <w:rsid w:val="46E46B2F"/>
    <w:rsid w:val="46EC05E8"/>
    <w:rsid w:val="46F03580"/>
    <w:rsid w:val="46F51A7F"/>
    <w:rsid w:val="46F847CE"/>
    <w:rsid w:val="47071442"/>
    <w:rsid w:val="47140188"/>
    <w:rsid w:val="47143D01"/>
    <w:rsid w:val="4714637D"/>
    <w:rsid w:val="471901B2"/>
    <w:rsid w:val="47274F4A"/>
    <w:rsid w:val="47280D0D"/>
    <w:rsid w:val="4737126F"/>
    <w:rsid w:val="47406C6A"/>
    <w:rsid w:val="476B7898"/>
    <w:rsid w:val="47700B34"/>
    <w:rsid w:val="477A6B40"/>
    <w:rsid w:val="477C1D4C"/>
    <w:rsid w:val="479B56E1"/>
    <w:rsid w:val="47B32E9C"/>
    <w:rsid w:val="47EB75CD"/>
    <w:rsid w:val="47EE1DDF"/>
    <w:rsid w:val="47F3266D"/>
    <w:rsid w:val="47F5309C"/>
    <w:rsid w:val="47F629BB"/>
    <w:rsid w:val="47FC7C43"/>
    <w:rsid w:val="47FF4B7E"/>
    <w:rsid w:val="480A1AEB"/>
    <w:rsid w:val="480B19F6"/>
    <w:rsid w:val="4810074A"/>
    <w:rsid w:val="4810571B"/>
    <w:rsid w:val="48212AE9"/>
    <w:rsid w:val="482C5B35"/>
    <w:rsid w:val="482E7F81"/>
    <w:rsid w:val="482F460B"/>
    <w:rsid w:val="4837656B"/>
    <w:rsid w:val="485C61AC"/>
    <w:rsid w:val="485E0907"/>
    <w:rsid w:val="48641BA5"/>
    <w:rsid w:val="486C4CE7"/>
    <w:rsid w:val="48790497"/>
    <w:rsid w:val="487B0789"/>
    <w:rsid w:val="48894E4D"/>
    <w:rsid w:val="489713C3"/>
    <w:rsid w:val="48A262B1"/>
    <w:rsid w:val="48A61EC2"/>
    <w:rsid w:val="48B122AA"/>
    <w:rsid w:val="48BA3284"/>
    <w:rsid w:val="48BC6665"/>
    <w:rsid w:val="48CB1CC0"/>
    <w:rsid w:val="48CD6110"/>
    <w:rsid w:val="48D027C1"/>
    <w:rsid w:val="48D4307F"/>
    <w:rsid w:val="48D82879"/>
    <w:rsid w:val="48ED280A"/>
    <w:rsid w:val="49013C23"/>
    <w:rsid w:val="49046A59"/>
    <w:rsid w:val="490A52ED"/>
    <w:rsid w:val="49120F3F"/>
    <w:rsid w:val="49163580"/>
    <w:rsid w:val="491E6E1E"/>
    <w:rsid w:val="491F7F64"/>
    <w:rsid w:val="492A1BD4"/>
    <w:rsid w:val="493863CD"/>
    <w:rsid w:val="49470956"/>
    <w:rsid w:val="49494E97"/>
    <w:rsid w:val="494D3EF0"/>
    <w:rsid w:val="494F7DA4"/>
    <w:rsid w:val="49582843"/>
    <w:rsid w:val="495D296B"/>
    <w:rsid w:val="49667C8B"/>
    <w:rsid w:val="49733467"/>
    <w:rsid w:val="49804B05"/>
    <w:rsid w:val="498755F3"/>
    <w:rsid w:val="498C05AA"/>
    <w:rsid w:val="49955841"/>
    <w:rsid w:val="49A418F2"/>
    <w:rsid w:val="49C51552"/>
    <w:rsid w:val="49C8100A"/>
    <w:rsid w:val="49F0795B"/>
    <w:rsid w:val="49F215F7"/>
    <w:rsid w:val="49F46361"/>
    <w:rsid w:val="49F7402B"/>
    <w:rsid w:val="49FF2037"/>
    <w:rsid w:val="4A030B7A"/>
    <w:rsid w:val="4A0A7F62"/>
    <w:rsid w:val="4A1B7C1F"/>
    <w:rsid w:val="4A1D00AC"/>
    <w:rsid w:val="4A1E57DE"/>
    <w:rsid w:val="4A1F532D"/>
    <w:rsid w:val="4A236EB1"/>
    <w:rsid w:val="4A267E35"/>
    <w:rsid w:val="4A270A04"/>
    <w:rsid w:val="4A280FB1"/>
    <w:rsid w:val="4A382D24"/>
    <w:rsid w:val="4A414188"/>
    <w:rsid w:val="4A47591B"/>
    <w:rsid w:val="4A4C4C82"/>
    <w:rsid w:val="4A4E3578"/>
    <w:rsid w:val="4A584603"/>
    <w:rsid w:val="4A5E7F8F"/>
    <w:rsid w:val="4A6A1823"/>
    <w:rsid w:val="4A6C4DE3"/>
    <w:rsid w:val="4A6F608D"/>
    <w:rsid w:val="4A737BA7"/>
    <w:rsid w:val="4A7D4145"/>
    <w:rsid w:val="4A885CE1"/>
    <w:rsid w:val="4A9452E5"/>
    <w:rsid w:val="4A984C0D"/>
    <w:rsid w:val="4A9C6A99"/>
    <w:rsid w:val="4A9F2D3A"/>
    <w:rsid w:val="4AA00600"/>
    <w:rsid w:val="4AAF6F96"/>
    <w:rsid w:val="4ABE4F66"/>
    <w:rsid w:val="4ABF0894"/>
    <w:rsid w:val="4AC24E43"/>
    <w:rsid w:val="4AD124CC"/>
    <w:rsid w:val="4AD360E5"/>
    <w:rsid w:val="4ADB4E28"/>
    <w:rsid w:val="4AE17881"/>
    <w:rsid w:val="4AE80BC0"/>
    <w:rsid w:val="4AEF6A2D"/>
    <w:rsid w:val="4AF16114"/>
    <w:rsid w:val="4AF46C58"/>
    <w:rsid w:val="4AF75899"/>
    <w:rsid w:val="4AF76666"/>
    <w:rsid w:val="4B05634E"/>
    <w:rsid w:val="4B163B35"/>
    <w:rsid w:val="4B170E1E"/>
    <w:rsid w:val="4B1A46C6"/>
    <w:rsid w:val="4B1A687B"/>
    <w:rsid w:val="4B1B110F"/>
    <w:rsid w:val="4B2517BD"/>
    <w:rsid w:val="4B2C12BC"/>
    <w:rsid w:val="4B331DC4"/>
    <w:rsid w:val="4B333D7A"/>
    <w:rsid w:val="4B3422A0"/>
    <w:rsid w:val="4B4D3A8C"/>
    <w:rsid w:val="4B5523AC"/>
    <w:rsid w:val="4B554CA4"/>
    <w:rsid w:val="4B5D5A49"/>
    <w:rsid w:val="4B675035"/>
    <w:rsid w:val="4B766FBE"/>
    <w:rsid w:val="4B7F49FA"/>
    <w:rsid w:val="4B85737C"/>
    <w:rsid w:val="4B8D0681"/>
    <w:rsid w:val="4B92038C"/>
    <w:rsid w:val="4B95302F"/>
    <w:rsid w:val="4B9D0457"/>
    <w:rsid w:val="4B9F1C20"/>
    <w:rsid w:val="4BA71C55"/>
    <w:rsid w:val="4BB31E0A"/>
    <w:rsid w:val="4BB45EE7"/>
    <w:rsid w:val="4BB51EF1"/>
    <w:rsid w:val="4BC10FFE"/>
    <w:rsid w:val="4BC74E08"/>
    <w:rsid w:val="4BCB3BDA"/>
    <w:rsid w:val="4BD07997"/>
    <w:rsid w:val="4BD101CA"/>
    <w:rsid w:val="4BDF3E16"/>
    <w:rsid w:val="4BE971AF"/>
    <w:rsid w:val="4BF749EC"/>
    <w:rsid w:val="4BFB1C38"/>
    <w:rsid w:val="4BFB266E"/>
    <w:rsid w:val="4BFE1C3A"/>
    <w:rsid w:val="4C042857"/>
    <w:rsid w:val="4C1003D8"/>
    <w:rsid w:val="4C1304F8"/>
    <w:rsid w:val="4C21446F"/>
    <w:rsid w:val="4C251AA6"/>
    <w:rsid w:val="4C315F18"/>
    <w:rsid w:val="4C352DA8"/>
    <w:rsid w:val="4C366477"/>
    <w:rsid w:val="4C4113CF"/>
    <w:rsid w:val="4C427560"/>
    <w:rsid w:val="4C5545C5"/>
    <w:rsid w:val="4C6B6EBB"/>
    <w:rsid w:val="4C6C2A7A"/>
    <w:rsid w:val="4C6F66E5"/>
    <w:rsid w:val="4C784DCE"/>
    <w:rsid w:val="4C786851"/>
    <w:rsid w:val="4C7E2F03"/>
    <w:rsid w:val="4C812213"/>
    <w:rsid w:val="4C8A729F"/>
    <w:rsid w:val="4C8E73B9"/>
    <w:rsid w:val="4C942881"/>
    <w:rsid w:val="4C98016E"/>
    <w:rsid w:val="4CA8258C"/>
    <w:rsid w:val="4CAF266F"/>
    <w:rsid w:val="4CB3144A"/>
    <w:rsid w:val="4CB45135"/>
    <w:rsid w:val="4CC13ECD"/>
    <w:rsid w:val="4CC451D3"/>
    <w:rsid w:val="4CC84765"/>
    <w:rsid w:val="4CCE3DBA"/>
    <w:rsid w:val="4CD020F9"/>
    <w:rsid w:val="4CD1365E"/>
    <w:rsid w:val="4CE50D46"/>
    <w:rsid w:val="4CEB05BD"/>
    <w:rsid w:val="4CFC6D55"/>
    <w:rsid w:val="4D0550A8"/>
    <w:rsid w:val="4D072C92"/>
    <w:rsid w:val="4D09197C"/>
    <w:rsid w:val="4D0B17EF"/>
    <w:rsid w:val="4D0E4802"/>
    <w:rsid w:val="4D1025A0"/>
    <w:rsid w:val="4D2F7723"/>
    <w:rsid w:val="4D30496D"/>
    <w:rsid w:val="4D3267B3"/>
    <w:rsid w:val="4D3E2904"/>
    <w:rsid w:val="4D406BD1"/>
    <w:rsid w:val="4D4B585B"/>
    <w:rsid w:val="4D4C2227"/>
    <w:rsid w:val="4D5047B5"/>
    <w:rsid w:val="4D605A45"/>
    <w:rsid w:val="4D700028"/>
    <w:rsid w:val="4D73501E"/>
    <w:rsid w:val="4D76573F"/>
    <w:rsid w:val="4D811DB6"/>
    <w:rsid w:val="4D831E51"/>
    <w:rsid w:val="4D9B4759"/>
    <w:rsid w:val="4D9F2721"/>
    <w:rsid w:val="4DA44E4F"/>
    <w:rsid w:val="4DB3573A"/>
    <w:rsid w:val="4DBC31EA"/>
    <w:rsid w:val="4DC537A4"/>
    <w:rsid w:val="4DCE74AD"/>
    <w:rsid w:val="4DD2413B"/>
    <w:rsid w:val="4DD8077E"/>
    <w:rsid w:val="4DF521AC"/>
    <w:rsid w:val="4E034B69"/>
    <w:rsid w:val="4E07713E"/>
    <w:rsid w:val="4E0A2800"/>
    <w:rsid w:val="4E0D58C8"/>
    <w:rsid w:val="4E145C74"/>
    <w:rsid w:val="4E1B7929"/>
    <w:rsid w:val="4E427D40"/>
    <w:rsid w:val="4E4839BC"/>
    <w:rsid w:val="4E4F1509"/>
    <w:rsid w:val="4E5079C5"/>
    <w:rsid w:val="4E5C64FB"/>
    <w:rsid w:val="4E623BD3"/>
    <w:rsid w:val="4E713592"/>
    <w:rsid w:val="4E7906E7"/>
    <w:rsid w:val="4E7A5C74"/>
    <w:rsid w:val="4E837C45"/>
    <w:rsid w:val="4E926F9F"/>
    <w:rsid w:val="4E993495"/>
    <w:rsid w:val="4EA30D9D"/>
    <w:rsid w:val="4EA3194E"/>
    <w:rsid w:val="4EA31AE4"/>
    <w:rsid w:val="4EA448E0"/>
    <w:rsid w:val="4EA76E89"/>
    <w:rsid w:val="4EAF2828"/>
    <w:rsid w:val="4EB175DB"/>
    <w:rsid w:val="4EB2058C"/>
    <w:rsid w:val="4EB60C48"/>
    <w:rsid w:val="4EBE17BD"/>
    <w:rsid w:val="4EDE147E"/>
    <w:rsid w:val="4EEA3967"/>
    <w:rsid w:val="4EEF1B44"/>
    <w:rsid w:val="4F02752A"/>
    <w:rsid w:val="4F094887"/>
    <w:rsid w:val="4F0A0EE8"/>
    <w:rsid w:val="4F0A27C3"/>
    <w:rsid w:val="4F0C0C4A"/>
    <w:rsid w:val="4F0F005F"/>
    <w:rsid w:val="4F165D52"/>
    <w:rsid w:val="4F16796B"/>
    <w:rsid w:val="4F1D369F"/>
    <w:rsid w:val="4F1E3C2F"/>
    <w:rsid w:val="4F213A90"/>
    <w:rsid w:val="4F290247"/>
    <w:rsid w:val="4F2F1151"/>
    <w:rsid w:val="4F323CD2"/>
    <w:rsid w:val="4F332C0A"/>
    <w:rsid w:val="4F394007"/>
    <w:rsid w:val="4F3B2459"/>
    <w:rsid w:val="4F3B460A"/>
    <w:rsid w:val="4F3E6A4A"/>
    <w:rsid w:val="4F3F35F0"/>
    <w:rsid w:val="4F433DC8"/>
    <w:rsid w:val="4F4628B7"/>
    <w:rsid w:val="4F4B51A5"/>
    <w:rsid w:val="4F4E6EC7"/>
    <w:rsid w:val="4F524C77"/>
    <w:rsid w:val="4F537993"/>
    <w:rsid w:val="4F545D86"/>
    <w:rsid w:val="4F5D5E43"/>
    <w:rsid w:val="4F6A4BAC"/>
    <w:rsid w:val="4F6D419F"/>
    <w:rsid w:val="4F794A6A"/>
    <w:rsid w:val="4F794D40"/>
    <w:rsid w:val="4F7978AA"/>
    <w:rsid w:val="4F7F2195"/>
    <w:rsid w:val="4F843B05"/>
    <w:rsid w:val="4F940769"/>
    <w:rsid w:val="4F9A71CF"/>
    <w:rsid w:val="4F9D1E4C"/>
    <w:rsid w:val="4FA14EEC"/>
    <w:rsid w:val="4FA84227"/>
    <w:rsid w:val="4FAD2047"/>
    <w:rsid w:val="4FB4580A"/>
    <w:rsid w:val="4FC231DA"/>
    <w:rsid w:val="4FD02F23"/>
    <w:rsid w:val="4FD9320F"/>
    <w:rsid w:val="4FDD1D8F"/>
    <w:rsid w:val="4FE223EE"/>
    <w:rsid w:val="4FE3097A"/>
    <w:rsid w:val="4FE962D0"/>
    <w:rsid w:val="4FEE795D"/>
    <w:rsid w:val="4FFD3A77"/>
    <w:rsid w:val="500471AF"/>
    <w:rsid w:val="50091D29"/>
    <w:rsid w:val="500F1637"/>
    <w:rsid w:val="501034A9"/>
    <w:rsid w:val="50120DEA"/>
    <w:rsid w:val="501429AB"/>
    <w:rsid w:val="501E5109"/>
    <w:rsid w:val="501F59A7"/>
    <w:rsid w:val="50205112"/>
    <w:rsid w:val="50344D2A"/>
    <w:rsid w:val="503642D7"/>
    <w:rsid w:val="503D3F59"/>
    <w:rsid w:val="504E1D2D"/>
    <w:rsid w:val="50580114"/>
    <w:rsid w:val="505B7399"/>
    <w:rsid w:val="50601B3E"/>
    <w:rsid w:val="50650862"/>
    <w:rsid w:val="50681179"/>
    <w:rsid w:val="50837BFA"/>
    <w:rsid w:val="508558A6"/>
    <w:rsid w:val="5095674A"/>
    <w:rsid w:val="50A01EE7"/>
    <w:rsid w:val="50A6221C"/>
    <w:rsid w:val="50AC4C20"/>
    <w:rsid w:val="50AE00AE"/>
    <w:rsid w:val="50B13272"/>
    <w:rsid w:val="50B61B8B"/>
    <w:rsid w:val="50B7359F"/>
    <w:rsid w:val="50C1016C"/>
    <w:rsid w:val="50C13C5F"/>
    <w:rsid w:val="50C16C1C"/>
    <w:rsid w:val="50C47696"/>
    <w:rsid w:val="50C577D9"/>
    <w:rsid w:val="50CB7B01"/>
    <w:rsid w:val="50CE5CE7"/>
    <w:rsid w:val="50D047FA"/>
    <w:rsid w:val="50D16CF7"/>
    <w:rsid w:val="50E00158"/>
    <w:rsid w:val="50E8434B"/>
    <w:rsid w:val="50F0291C"/>
    <w:rsid w:val="50F5073D"/>
    <w:rsid w:val="50F83FA2"/>
    <w:rsid w:val="5100536A"/>
    <w:rsid w:val="5108250F"/>
    <w:rsid w:val="51166C53"/>
    <w:rsid w:val="51183F80"/>
    <w:rsid w:val="51286AE9"/>
    <w:rsid w:val="51334745"/>
    <w:rsid w:val="51355ACC"/>
    <w:rsid w:val="51565694"/>
    <w:rsid w:val="51645D69"/>
    <w:rsid w:val="516C5BB7"/>
    <w:rsid w:val="517C1235"/>
    <w:rsid w:val="518741CF"/>
    <w:rsid w:val="51881606"/>
    <w:rsid w:val="518A6068"/>
    <w:rsid w:val="518B3A0C"/>
    <w:rsid w:val="518B6393"/>
    <w:rsid w:val="518E2820"/>
    <w:rsid w:val="51992F63"/>
    <w:rsid w:val="519C6C10"/>
    <w:rsid w:val="519D65FC"/>
    <w:rsid w:val="51A407AF"/>
    <w:rsid w:val="51A5488F"/>
    <w:rsid w:val="51AA4B13"/>
    <w:rsid w:val="51AC5137"/>
    <w:rsid w:val="51AD56E1"/>
    <w:rsid w:val="51B463DB"/>
    <w:rsid w:val="51B93C78"/>
    <w:rsid w:val="51BA3724"/>
    <w:rsid w:val="51BD0E26"/>
    <w:rsid w:val="51C31254"/>
    <w:rsid w:val="51C979DD"/>
    <w:rsid w:val="51CA5F3D"/>
    <w:rsid w:val="51D65A91"/>
    <w:rsid w:val="51E20465"/>
    <w:rsid w:val="51F169E1"/>
    <w:rsid w:val="520A22AE"/>
    <w:rsid w:val="52132555"/>
    <w:rsid w:val="52135BFC"/>
    <w:rsid w:val="52176582"/>
    <w:rsid w:val="52247A0F"/>
    <w:rsid w:val="52304FAA"/>
    <w:rsid w:val="52307478"/>
    <w:rsid w:val="52385792"/>
    <w:rsid w:val="523D42DD"/>
    <w:rsid w:val="523F34A0"/>
    <w:rsid w:val="523F6AFF"/>
    <w:rsid w:val="52480D46"/>
    <w:rsid w:val="524F31BF"/>
    <w:rsid w:val="52514A0D"/>
    <w:rsid w:val="526731FC"/>
    <w:rsid w:val="526C5746"/>
    <w:rsid w:val="5273265C"/>
    <w:rsid w:val="52815ED9"/>
    <w:rsid w:val="5285330B"/>
    <w:rsid w:val="52853336"/>
    <w:rsid w:val="52881D50"/>
    <w:rsid w:val="528D7640"/>
    <w:rsid w:val="52914064"/>
    <w:rsid w:val="52991222"/>
    <w:rsid w:val="529B3EC4"/>
    <w:rsid w:val="529C7876"/>
    <w:rsid w:val="52A01DD3"/>
    <w:rsid w:val="52A22582"/>
    <w:rsid w:val="52BD4DE3"/>
    <w:rsid w:val="52C1084B"/>
    <w:rsid w:val="52C357DA"/>
    <w:rsid w:val="52CA2C42"/>
    <w:rsid w:val="52DB19FD"/>
    <w:rsid w:val="52E53EC9"/>
    <w:rsid w:val="52E86208"/>
    <w:rsid w:val="52EE339D"/>
    <w:rsid w:val="52F61E27"/>
    <w:rsid w:val="52F64812"/>
    <w:rsid w:val="5306292A"/>
    <w:rsid w:val="530822C8"/>
    <w:rsid w:val="530957A1"/>
    <w:rsid w:val="530B4BCC"/>
    <w:rsid w:val="530C1E03"/>
    <w:rsid w:val="5317233C"/>
    <w:rsid w:val="531A341A"/>
    <w:rsid w:val="532B3A0E"/>
    <w:rsid w:val="532E661A"/>
    <w:rsid w:val="53363A3C"/>
    <w:rsid w:val="533C647A"/>
    <w:rsid w:val="533E1E81"/>
    <w:rsid w:val="53511DEE"/>
    <w:rsid w:val="535F3AF3"/>
    <w:rsid w:val="536A76FF"/>
    <w:rsid w:val="536C0593"/>
    <w:rsid w:val="536E10CF"/>
    <w:rsid w:val="536F1AF1"/>
    <w:rsid w:val="536F3F83"/>
    <w:rsid w:val="53703E8D"/>
    <w:rsid w:val="53707DDE"/>
    <w:rsid w:val="537334C7"/>
    <w:rsid w:val="537810B7"/>
    <w:rsid w:val="537E0058"/>
    <w:rsid w:val="538263E3"/>
    <w:rsid w:val="5391759C"/>
    <w:rsid w:val="53950AA6"/>
    <w:rsid w:val="53A8102E"/>
    <w:rsid w:val="53AD2AB2"/>
    <w:rsid w:val="53BF0C0D"/>
    <w:rsid w:val="53C33DA1"/>
    <w:rsid w:val="53C502CE"/>
    <w:rsid w:val="53C71634"/>
    <w:rsid w:val="53D02F55"/>
    <w:rsid w:val="53D87615"/>
    <w:rsid w:val="53DE3E24"/>
    <w:rsid w:val="53E12D9E"/>
    <w:rsid w:val="53E23B4F"/>
    <w:rsid w:val="53E64B1C"/>
    <w:rsid w:val="53E8652B"/>
    <w:rsid w:val="53EB486A"/>
    <w:rsid w:val="53EB670C"/>
    <w:rsid w:val="53EE67E9"/>
    <w:rsid w:val="53FD1C03"/>
    <w:rsid w:val="54015914"/>
    <w:rsid w:val="54020BC2"/>
    <w:rsid w:val="540310FA"/>
    <w:rsid w:val="54037045"/>
    <w:rsid w:val="540817F6"/>
    <w:rsid w:val="541B41D6"/>
    <w:rsid w:val="54270E2A"/>
    <w:rsid w:val="54270F5B"/>
    <w:rsid w:val="542925D7"/>
    <w:rsid w:val="542C30A8"/>
    <w:rsid w:val="54316FB4"/>
    <w:rsid w:val="543241A9"/>
    <w:rsid w:val="543278C6"/>
    <w:rsid w:val="54382594"/>
    <w:rsid w:val="543E515D"/>
    <w:rsid w:val="543F413B"/>
    <w:rsid w:val="543F6DB4"/>
    <w:rsid w:val="544561BC"/>
    <w:rsid w:val="544B0D54"/>
    <w:rsid w:val="545045C9"/>
    <w:rsid w:val="545568EB"/>
    <w:rsid w:val="54591CDE"/>
    <w:rsid w:val="54625354"/>
    <w:rsid w:val="546D6CCA"/>
    <w:rsid w:val="546F2ECB"/>
    <w:rsid w:val="54751375"/>
    <w:rsid w:val="54762AD5"/>
    <w:rsid w:val="547F7E40"/>
    <w:rsid w:val="54946A57"/>
    <w:rsid w:val="54984A43"/>
    <w:rsid w:val="54A127DB"/>
    <w:rsid w:val="54B55CE3"/>
    <w:rsid w:val="54B9208D"/>
    <w:rsid w:val="54BA614C"/>
    <w:rsid w:val="54C557E7"/>
    <w:rsid w:val="54C65EC0"/>
    <w:rsid w:val="54D006DC"/>
    <w:rsid w:val="54D43100"/>
    <w:rsid w:val="54DD7AC9"/>
    <w:rsid w:val="55053315"/>
    <w:rsid w:val="55067A64"/>
    <w:rsid w:val="5508043A"/>
    <w:rsid w:val="550F5D1A"/>
    <w:rsid w:val="55171F21"/>
    <w:rsid w:val="551C1C56"/>
    <w:rsid w:val="552760F6"/>
    <w:rsid w:val="552A09F4"/>
    <w:rsid w:val="552C4622"/>
    <w:rsid w:val="5532296D"/>
    <w:rsid w:val="553857AD"/>
    <w:rsid w:val="553D5564"/>
    <w:rsid w:val="55484257"/>
    <w:rsid w:val="554D154C"/>
    <w:rsid w:val="555154EE"/>
    <w:rsid w:val="5560481F"/>
    <w:rsid w:val="557414CA"/>
    <w:rsid w:val="558859E4"/>
    <w:rsid w:val="558F4A1E"/>
    <w:rsid w:val="55905858"/>
    <w:rsid w:val="55917E28"/>
    <w:rsid w:val="55942252"/>
    <w:rsid w:val="55987FBD"/>
    <w:rsid w:val="559E64C4"/>
    <w:rsid w:val="55AC7BE9"/>
    <w:rsid w:val="55B41C64"/>
    <w:rsid w:val="55C47B84"/>
    <w:rsid w:val="55CB0EA2"/>
    <w:rsid w:val="55CC6847"/>
    <w:rsid w:val="55DD6540"/>
    <w:rsid w:val="55EC2897"/>
    <w:rsid w:val="55F157AA"/>
    <w:rsid w:val="55F64FF7"/>
    <w:rsid w:val="55F71F0D"/>
    <w:rsid w:val="55FA0B35"/>
    <w:rsid w:val="55FA242D"/>
    <w:rsid w:val="561A7A66"/>
    <w:rsid w:val="56254C95"/>
    <w:rsid w:val="56290B5D"/>
    <w:rsid w:val="5630640C"/>
    <w:rsid w:val="56363D57"/>
    <w:rsid w:val="56370731"/>
    <w:rsid w:val="563A5F22"/>
    <w:rsid w:val="56490020"/>
    <w:rsid w:val="5652511E"/>
    <w:rsid w:val="56543A0D"/>
    <w:rsid w:val="565C0156"/>
    <w:rsid w:val="56631E3E"/>
    <w:rsid w:val="566832A7"/>
    <w:rsid w:val="566B50BC"/>
    <w:rsid w:val="566E08BF"/>
    <w:rsid w:val="567B1001"/>
    <w:rsid w:val="569D1575"/>
    <w:rsid w:val="569E1AC8"/>
    <w:rsid w:val="56A4132F"/>
    <w:rsid w:val="56AC279F"/>
    <w:rsid w:val="56AF2E6F"/>
    <w:rsid w:val="56B1096B"/>
    <w:rsid w:val="56D94DD2"/>
    <w:rsid w:val="56DF0963"/>
    <w:rsid w:val="56E2575C"/>
    <w:rsid w:val="56E31118"/>
    <w:rsid w:val="56E46A8E"/>
    <w:rsid w:val="56F37D3E"/>
    <w:rsid w:val="56F473C0"/>
    <w:rsid w:val="56F50139"/>
    <w:rsid w:val="56FD3D8C"/>
    <w:rsid w:val="57022EA8"/>
    <w:rsid w:val="57065F83"/>
    <w:rsid w:val="57097BE4"/>
    <w:rsid w:val="570B6550"/>
    <w:rsid w:val="571261F4"/>
    <w:rsid w:val="57196157"/>
    <w:rsid w:val="571A7074"/>
    <w:rsid w:val="571C2DEB"/>
    <w:rsid w:val="571D3D42"/>
    <w:rsid w:val="573D1263"/>
    <w:rsid w:val="573D632F"/>
    <w:rsid w:val="573F3C29"/>
    <w:rsid w:val="5741590E"/>
    <w:rsid w:val="57463EC2"/>
    <w:rsid w:val="57484C26"/>
    <w:rsid w:val="57497ECE"/>
    <w:rsid w:val="5758628A"/>
    <w:rsid w:val="575C550F"/>
    <w:rsid w:val="57641F8B"/>
    <w:rsid w:val="57685DFD"/>
    <w:rsid w:val="57745BB6"/>
    <w:rsid w:val="577C7607"/>
    <w:rsid w:val="577F1DCC"/>
    <w:rsid w:val="57855787"/>
    <w:rsid w:val="5788008D"/>
    <w:rsid w:val="578A1BF3"/>
    <w:rsid w:val="5791383A"/>
    <w:rsid w:val="57940EB9"/>
    <w:rsid w:val="579C1BCB"/>
    <w:rsid w:val="57A06E77"/>
    <w:rsid w:val="57AC28B7"/>
    <w:rsid w:val="57AE6086"/>
    <w:rsid w:val="57B02739"/>
    <w:rsid w:val="57BD109C"/>
    <w:rsid w:val="57BD6C04"/>
    <w:rsid w:val="57C23595"/>
    <w:rsid w:val="57C36ACD"/>
    <w:rsid w:val="57C51573"/>
    <w:rsid w:val="57D6036B"/>
    <w:rsid w:val="57D6484A"/>
    <w:rsid w:val="57DE28CC"/>
    <w:rsid w:val="57E5708B"/>
    <w:rsid w:val="57EA372B"/>
    <w:rsid w:val="57EF1042"/>
    <w:rsid w:val="57F347D8"/>
    <w:rsid w:val="57FC5FB2"/>
    <w:rsid w:val="57FF606E"/>
    <w:rsid w:val="580716CC"/>
    <w:rsid w:val="580D321B"/>
    <w:rsid w:val="58220A26"/>
    <w:rsid w:val="58227B1F"/>
    <w:rsid w:val="5825179D"/>
    <w:rsid w:val="58381DBD"/>
    <w:rsid w:val="58394C38"/>
    <w:rsid w:val="583E2F8C"/>
    <w:rsid w:val="58423CCA"/>
    <w:rsid w:val="58446DBA"/>
    <w:rsid w:val="58481CE4"/>
    <w:rsid w:val="584B7C06"/>
    <w:rsid w:val="58510290"/>
    <w:rsid w:val="58535DB5"/>
    <w:rsid w:val="58553705"/>
    <w:rsid w:val="5855370B"/>
    <w:rsid w:val="58590F71"/>
    <w:rsid w:val="587651AC"/>
    <w:rsid w:val="587939C8"/>
    <w:rsid w:val="587A7AD3"/>
    <w:rsid w:val="588833FD"/>
    <w:rsid w:val="58931910"/>
    <w:rsid w:val="58932063"/>
    <w:rsid w:val="58994F91"/>
    <w:rsid w:val="589C0EF2"/>
    <w:rsid w:val="58A921CB"/>
    <w:rsid w:val="58AC2F74"/>
    <w:rsid w:val="58B31A8B"/>
    <w:rsid w:val="58B31DD9"/>
    <w:rsid w:val="58B43028"/>
    <w:rsid w:val="58B91125"/>
    <w:rsid w:val="58C07443"/>
    <w:rsid w:val="58C64CF3"/>
    <w:rsid w:val="58CB283B"/>
    <w:rsid w:val="58CB3B78"/>
    <w:rsid w:val="58CB6A3A"/>
    <w:rsid w:val="58D07980"/>
    <w:rsid w:val="58D16799"/>
    <w:rsid w:val="58D21B64"/>
    <w:rsid w:val="58E36F3B"/>
    <w:rsid w:val="58F66BE7"/>
    <w:rsid w:val="58FB4FB5"/>
    <w:rsid w:val="58FF03F4"/>
    <w:rsid w:val="59096497"/>
    <w:rsid w:val="590D2328"/>
    <w:rsid w:val="590F51DD"/>
    <w:rsid w:val="5910252B"/>
    <w:rsid w:val="59103CAB"/>
    <w:rsid w:val="59232C0B"/>
    <w:rsid w:val="59251BA8"/>
    <w:rsid w:val="5927575C"/>
    <w:rsid w:val="5927701A"/>
    <w:rsid w:val="593A62F9"/>
    <w:rsid w:val="593E34F6"/>
    <w:rsid w:val="593E4EE7"/>
    <w:rsid w:val="594D06B7"/>
    <w:rsid w:val="595258C3"/>
    <w:rsid w:val="59537D58"/>
    <w:rsid w:val="59547D76"/>
    <w:rsid w:val="59560D28"/>
    <w:rsid w:val="59587923"/>
    <w:rsid w:val="595E4B6A"/>
    <w:rsid w:val="596E38CF"/>
    <w:rsid w:val="597123DA"/>
    <w:rsid w:val="59754648"/>
    <w:rsid w:val="597B6E60"/>
    <w:rsid w:val="598D03EC"/>
    <w:rsid w:val="598D7696"/>
    <w:rsid w:val="59971C18"/>
    <w:rsid w:val="599C0038"/>
    <w:rsid w:val="59A02ED8"/>
    <w:rsid w:val="59A874AD"/>
    <w:rsid w:val="59AB2777"/>
    <w:rsid w:val="59AD1771"/>
    <w:rsid w:val="59C43D4D"/>
    <w:rsid w:val="59C4486C"/>
    <w:rsid w:val="59C83A39"/>
    <w:rsid w:val="59CD0FC2"/>
    <w:rsid w:val="59D746D7"/>
    <w:rsid w:val="59DE6A0D"/>
    <w:rsid w:val="59F22456"/>
    <w:rsid w:val="59F23EF9"/>
    <w:rsid w:val="59F40C9E"/>
    <w:rsid w:val="59FB18DA"/>
    <w:rsid w:val="5A08769B"/>
    <w:rsid w:val="5A0D6D49"/>
    <w:rsid w:val="5A0F30F8"/>
    <w:rsid w:val="5A220958"/>
    <w:rsid w:val="5A245D72"/>
    <w:rsid w:val="5A261DCD"/>
    <w:rsid w:val="5A315F05"/>
    <w:rsid w:val="5A3178E0"/>
    <w:rsid w:val="5A344989"/>
    <w:rsid w:val="5A361544"/>
    <w:rsid w:val="5A3C7C5E"/>
    <w:rsid w:val="5A3D2537"/>
    <w:rsid w:val="5A3F108A"/>
    <w:rsid w:val="5A400887"/>
    <w:rsid w:val="5A425322"/>
    <w:rsid w:val="5A596770"/>
    <w:rsid w:val="5A5B363C"/>
    <w:rsid w:val="5A63484A"/>
    <w:rsid w:val="5A66425D"/>
    <w:rsid w:val="5A692FE3"/>
    <w:rsid w:val="5A6D76C0"/>
    <w:rsid w:val="5A723A0D"/>
    <w:rsid w:val="5A762255"/>
    <w:rsid w:val="5A833B0D"/>
    <w:rsid w:val="5A8627C8"/>
    <w:rsid w:val="5A883F28"/>
    <w:rsid w:val="5A920839"/>
    <w:rsid w:val="5A9959AB"/>
    <w:rsid w:val="5A9A7C44"/>
    <w:rsid w:val="5A9D621A"/>
    <w:rsid w:val="5AAF7ED4"/>
    <w:rsid w:val="5AB17106"/>
    <w:rsid w:val="5AB70B64"/>
    <w:rsid w:val="5AC219D6"/>
    <w:rsid w:val="5AC558FB"/>
    <w:rsid w:val="5AC91049"/>
    <w:rsid w:val="5ACF40CD"/>
    <w:rsid w:val="5AD25E29"/>
    <w:rsid w:val="5AD977F4"/>
    <w:rsid w:val="5ADB273E"/>
    <w:rsid w:val="5AE14981"/>
    <w:rsid w:val="5AFC7A28"/>
    <w:rsid w:val="5AFD3B96"/>
    <w:rsid w:val="5B097B76"/>
    <w:rsid w:val="5B0C640C"/>
    <w:rsid w:val="5B103430"/>
    <w:rsid w:val="5B1F3A0B"/>
    <w:rsid w:val="5B2D305D"/>
    <w:rsid w:val="5B344015"/>
    <w:rsid w:val="5B350A21"/>
    <w:rsid w:val="5B3F3F40"/>
    <w:rsid w:val="5B443E9C"/>
    <w:rsid w:val="5B561967"/>
    <w:rsid w:val="5B5D3E2F"/>
    <w:rsid w:val="5B620B4F"/>
    <w:rsid w:val="5B637846"/>
    <w:rsid w:val="5B637AE8"/>
    <w:rsid w:val="5B707739"/>
    <w:rsid w:val="5B74479A"/>
    <w:rsid w:val="5B7468B8"/>
    <w:rsid w:val="5B7C7628"/>
    <w:rsid w:val="5B7E0ACC"/>
    <w:rsid w:val="5B8526BA"/>
    <w:rsid w:val="5B956906"/>
    <w:rsid w:val="5B970EBD"/>
    <w:rsid w:val="5BA0525E"/>
    <w:rsid w:val="5BB55204"/>
    <w:rsid w:val="5BB62C85"/>
    <w:rsid w:val="5BC47A1C"/>
    <w:rsid w:val="5BCD5911"/>
    <w:rsid w:val="5BCE4EA4"/>
    <w:rsid w:val="5BD02AFD"/>
    <w:rsid w:val="5BD209C4"/>
    <w:rsid w:val="5BD637EC"/>
    <w:rsid w:val="5BDE0F42"/>
    <w:rsid w:val="5BDE5A43"/>
    <w:rsid w:val="5BE0323A"/>
    <w:rsid w:val="5BE2598D"/>
    <w:rsid w:val="5BE52C87"/>
    <w:rsid w:val="5BFB1413"/>
    <w:rsid w:val="5BFF0F46"/>
    <w:rsid w:val="5C016123"/>
    <w:rsid w:val="5C053AE8"/>
    <w:rsid w:val="5C053DF4"/>
    <w:rsid w:val="5C075ED1"/>
    <w:rsid w:val="5C0B7733"/>
    <w:rsid w:val="5C13747D"/>
    <w:rsid w:val="5C1B7F5F"/>
    <w:rsid w:val="5C2334AF"/>
    <w:rsid w:val="5C29076D"/>
    <w:rsid w:val="5C2B06AD"/>
    <w:rsid w:val="5C34166A"/>
    <w:rsid w:val="5C474772"/>
    <w:rsid w:val="5C4A36B7"/>
    <w:rsid w:val="5C4E44D4"/>
    <w:rsid w:val="5C5552A6"/>
    <w:rsid w:val="5C570EE3"/>
    <w:rsid w:val="5C774D7E"/>
    <w:rsid w:val="5C796560"/>
    <w:rsid w:val="5C7B79F9"/>
    <w:rsid w:val="5C96026B"/>
    <w:rsid w:val="5C975F8A"/>
    <w:rsid w:val="5C9E082A"/>
    <w:rsid w:val="5CC15BCC"/>
    <w:rsid w:val="5CD51EB4"/>
    <w:rsid w:val="5CD7479C"/>
    <w:rsid w:val="5CDF6871"/>
    <w:rsid w:val="5CE536CF"/>
    <w:rsid w:val="5CE568F8"/>
    <w:rsid w:val="5CE80A78"/>
    <w:rsid w:val="5CEA5509"/>
    <w:rsid w:val="5CF2493D"/>
    <w:rsid w:val="5CF33064"/>
    <w:rsid w:val="5CFC05B7"/>
    <w:rsid w:val="5D0576C4"/>
    <w:rsid w:val="5D096497"/>
    <w:rsid w:val="5D125A63"/>
    <w:rsid w:val="5D21139B"/>
    <w:rsid w:val="5D230368"/>
    <w:rsid w:val="5D2466DF"/>
    <w:rsid w:val="5D255730"/>
    <w:rsid w:val="5D3A0883"/>
    <w:rsid w:val="5D4E1B6B"/>
    <w:rsid w:val="5D4E1BA7"/>
    <w:rsid w:val="5D5667E0"/>
    <w:rsid w:val="5D580881"/>
    <w:rsid w:val="5D6261CB"/>
    <w:rsid w:val="5D6F7A58"/>
    <w:rsid w:val="5D712F5B"/>
    <w:rsid w:val="5D7B5CC1"/>
    <w:rsid w:val="5D7D697D"/>
    <w:rsid w:val="5D8D0925"/>
    <w:rsid w:val="5D99207C"/>
    <w:rsid w:val="5DA13534"/>
    <w:rsid w:val="5DA80011"/>
    <w:rsid w:val="5DAA158A"/>
    <w:rsid w:val="5DBB5ECC"/>
    <w:rsid w:val="5DC847C4"/>
    <w:rsid w:val="5DC87506"/>
    <w:rsid w:val="5DCB56EC"/>
    <w:rsid w:val="5DCC2370"/>
    <w:rsid w:val="5DCF0D76"/>
    <w:rsid w:val="5DD4601C"/>
    <w:rsid w:val="5DD632E4"/>
    <w:rsid w:val="5DD71A06"/>
    <w:rsid w:val="5DD864D3"/>
    <w:rsid w:val="5DE448D2"/>
    <w:rsid w:val="5DE56B02"/>
    <w:rsid w:val="5DF441FF"/>
    <w:rsid w:val="5DF849E9"/>
    <w:rsid w:val="5DFE4F1B"/>
    <w:rsid w:val="5E03539E"/>
    <w:rsid w:val="5E1463C6"/>
    <w:rsid w:val="5E2511CA"/>
    <w:rsid w:val="5E285722"/>
    <w:rsid w:val="5E350BA6"/>
    <w:rsid w:val="5E3B4D31"/>
    <w:rsid w:val="5E3E65D1"/>
    <w:rsid w:val="5E431936"/>
    <w:rsid w:val="5E4B7A1D"/>
    <w:rsid w:val="5E4E2768"/>
    <w:rsid w:val="5E50050F"/>
    <w:rsid w:val="5E5A4AF4"/>
    <w:rsid w:val="5E5D04EF"/>
    <w:rsid w:val="5E62411B"/>
    <w:rsid w:val="5E677FF0"/>
    <w:rsid w:val="5E68591D"/>
    <w:rsid w:val="5E6E3128"/>
    <w:rsid w:val="5E731D18"/>
    <w:rsid w:val="5E742249"/>
    <w:rsid w:val="5E803272"/>
    <w:rsid w:val="5E8D74B9"/>
    <w:rsid w:val="5E9268B6"/>
    <w:rsid w:val="5E9E2816"/>
    <w:rsid w:val="5E9E597C"/>
    <w:rsid w:val="5EA25DA7"/>
    <w:rsid w:val="5EA470C3"/>
    <w:rsid w:val="5EA97C8F"/>
    <w:rsid w:val="5EAB669E"/>
    <w:rsid w:val="5EAC7CB5"/>
    <w:rsid w:val="5EAC7DF8"/>
    <w:rsid w:val="5EB03BA5"/>
    <w:rsid w:val="5EBB1532"/>
    <w:rsid w:val="5EDA252D"/>
    <w:rsid w:val="5EDF04E2"/>
    <w:rsid w:val="5EE4090C"/>
    <w:rsid w:val="5EE437F5"/>
    <w:rsid w:val="5EF0645B"/>
    <w:rsid w:val="5EFD60B5"/>
    <w:rsid w:val="5F05700F"/>
    <w:rsid w:val="5F0936DE"/>
    <w:rsid w:val="5F1263B5"/>
    <w:rsid w:val="5F171517"/>
    <w:rsid w:val="5F1A4848"/>
    <w:rsid w:val="5F210125"/>
    <w:rsid w:val="5F236A77"/>
    <w:rsid w:val="5F2E2A8A"/>
    <w:rsid w:val="5F3C79F2"/>
    <w:rsid w:val="5F414056"/>
    <w:rsid w:val="5F446614"/>
    <w:rsid w:val="5F454229"/>
    <w:rsid w:val="5F4A0D9D"/>
    <w:rsid w:val="5F4B21FD"/>
    <w:rsid w:val="5F5168E0"/>
    <w:rsid w:val="5F5610E6"/>
    <w:rsid w:val="5F62295E"/>
    <w:rsid w:val="5F726743"/>
    <w:rsid w:val="5F790CE9"/>
    <w:rsid w:val="5F7D16C2"/>
    <w:rsid w:val="5F892553"/>
    <w:rsid w:val="5F946059"/>
    <w:rsid w:val="5F9D7E5B"/>
    <w:rsid w:val="5FA04A6A"/>
    <w:rsid w:val="5FAB77AE"/>
    <w:rsid w:val="5FAC1FAE"/>
    <w:rsid w:val="5FAE6620"/>
    <w:rsid w:val="5FB22801"/>
    <w:rsid w:val="5FB301BB"/>
    <w:rsid w:val="5FBF00D5"/>
    <w:rsid w:val="5FD04C2C"/>
    <w:rsid w:val="5FE83B04"/>
    <w:rsid w:val="5FF32A3B"/>
    <w:rsid w:val="5FF65989"/>
    <w:rsid w:val="5FF9437A"/>
    <w:rsid w:val="5FFA3939"/>
    <w:rsid w:val="60014301"/>
    <w:rsid w:val="6008194E"/>
    <w:rsid w:val="600A6271"/>
    <w:rsid w:val="601410A2"/>
    <w:rsid w:val="601451FE"/>
    <w:rsid w:val="60212333"/>
    <w:rsid w:val="602E29D0"/>
    <w:rsid w:val="6030786B"/>
    <w:rsid w:val="60357E4D"/>
    <w:rsid w:val="60384292"/>
    <w:rsid w:val="603E0401"/>
    <w:rsid w:val="603E7BF6"/>
    <w:rsid w:val="6046706E"/>
    <w:rsid w:val="60492B3E"/>
    <w:rsid w:val="60515969"/>
    <w:rsid w:val="60565E64"/>
    <w:rsid w:val="6059114D"/>
    <w:rsid w:val="60647840"/>
    <w:rsid w:val="6089047C"/>
    <w:rsid w:val="608C0E83"/>
    <w:rsid w:val="608D4CE3"/>
    <w:rsid w:val="60935BFC"/>
    <w:rsid w:val="609D0CE0"/>
    <w:rsid w:val="60A859A2"/>
    <w:rsid w:val="60AB29AA"/>
    <w:rsid w:val="60AC024B"/>
    <w:rsid w:val="60AC0F1D"/>
    <w:rsid w:val="60AC67BD"/>
    <w:rsid w:val="60AD3F3F"/>
    <w:rsid w:val="60B146B2"/>
    <w:rsid w:val="60B15AD6"/>
    <w:rsid w:val="60C06489"/>
    <w:rsid w:val="60CE1423"/>
    <w:rsid w:val="60CE2A0E"/>
    <w:rsid w:val="60DB1304"/>
    <w:rsid w:val="60DC7456"/>
    <w:rsid w:val="60E34F45"/>
    <w:rsid w:val="61032E37"/>
    <w:rsid w:val="6108420B"/>
    <w:rsid w:val="610C37AC"/>
    <w:rsid w:val="610E4A4B"/>
    <w:rsid w:val="61145365"/>
    <w:rsid w:val="61165FAA"/>
    <w:rsid w:val="611B2150"/>
    <w:rsid w:val="61203536"/>
    <w:rsid w:val="61204933"/>
    <w:rsid w:val="612354B4"/>
    <w:rsid w:val="612414CB"/>
    <w:rsid w:val="6131159B"/>
    <w:rsid w:val="61351007"/>
    <w:rsid w:val="61351A56"/>
    <w:rsid w:val="61356E89"/>
    <w:rsid w:val="6138200C"/>
    <w:rsid w:val="613F62A8"/>
    <w:rsid w:val="61415F87"/>
    <w:rsid w:val="614822A7"/>
    <w:rsid w:val="614963EE"/>
    <w:rsid w:val="614A2FC6"/>
    <w:rsid w:val="614E6C03"/>
    <w:rsid w:val="615755BD"/>
    <w:rsid w:val="615A223E"/>
    <w:rsid w:val="615B47A6"/>
    <w:rsid w:val="615F3517"/>
    <w:rsid w:val="616435A6"/>
    <w:rsid w:val="61690591"/>
    <w:rsid w:val="61892E8B"/>
    <w:rsid w:val="618A4888"/>
    <w:rsid w:val="618D5576"/>
    <w:rsid w:val="619940E6"/>
    <w:rsid w:val="619D5FBE"/>
    <w:rsid w:val="619E19B9"/>
    <w:rsid w:val="61A0649D"/>
    <w:rsid w:val="61A6014E"/>
    <w:rsid w:val="61A7486D"/>
    <w:rsid w:val="61AF035B"/>
    <w:rsid w:val="61B17BD0"/>
    <w:rsid w:val="61C51E7E"/>
    <w:rsid w:val="61D63921"/>
    <w:rsid w:val="61DA5C32"/>
    <w:rsid w:val="61DB724C"/>
    <w:rsid w:val="61DC33FE"/>
    <w:rsid w:val="61E2226C"/>
    <w:rsid w:val="61E643A1"/>
    <w:rsid w:val="61E66CAD"/>
    <w:rsid w:val="61F276D6"/>
    <w:rsid w:val="61F439C5"/>
    <w:rsid w:val="61F443E9"/>
    <w:rsid w:val="62036E74"/>
    <w:rsid w:val="62203C19"/>
    <w:rsid w:val="62213533"/>
    <w:rsid w:val="62244E9F"/>
    <w:rsid w:val="62270D05"/>
    <w:rsid w:val="622C111C"/>
    <w:rsid w:val="623025A4"/>
    <w:rsid w:val="623034A9"/>
    <w:rsid w:val="62305F95"/>
    <w:rsid w:val="62397832"/>
    <w:rsid w:val="62461BF2"/>
    <w:rsid w:val="62595123"/>
    <w:rsid w:val="62607426"/>
    <w:rsid w:val="626347A6"/>
    <w:rsid w:val="626B1246"/>
    <w:rsid w:val="6278379F"/>
    <w:rsid w:val="62857AB0"/>
    <w:rsid w:val="62867444"/>
    <w:rsid w:val="628A41A8"/>
    <w:rsid w:val="628C4E46"/>
    <w:rsid w:val="629D7EE8"/>
    <w:rsid w:val="62A37D0F"/>
    <w:rsid w:val="62A84A93"/>
    <w:rsid w:val="62B644A0"/>
    <w:rsid w:val="62BC1814"/>
    <w:rsid w:val="62BD1648"/>
    <w:rsid w:val="62C06610"/>
    <w:rsid w:val="62C73A65"/>
    <w:rsid w:val="62CB3A67"/>
    <w:rsid w:val="62D50998"/>
    <w:rsid w:val="62D55B49"/>
    <w:rsid w:val="62DC6653"/>
    <w:rsid w:val="62E7507D"/>
    <w:rsid w:val="62F00C3E"/>
    <w:rsid w:val="62F61E46"/>
    <w:rsid w:val="62F67597"/>
    <w:rsid w:val="630C34D0"/>
    <w:rsid w:val="631E48B7"/>
    <w:rsid w:val="6322080B"/>
    <w:rsid w:val="63221947"/>
    <w:rsid w:val="63255FA6"/>
    <w:rsid w:val="63453350"/>
    <w:rsid w:val="63482F32"/>
    <w:rsid w:val="635F6BBD"/>
    <w:rsid w:val="6371531A"/>
    <w:rsid w:val="637222A0"/>
    <w:rsid w:val="637662D1"/>
    <w:rsid w:val="63781C7D"/>
    <w:rsid w:val="63782078"/>
    <w:rsid w:val="637F14AD"/>
    <w:rsid w:val="638732C2"/>
    <w:rsid w:val="638B7511"/>
    <w:rsid w:val="638F7AFC"/>
    <w:rsid w:val="639215D8"/>
    <w:rsid w:val="63980872"/>
    <w:rsid w:val="639B4C77"/>
    <w:rsid w:val="63A138FB"/>
    <w:rsid w:val="63A36BE5"/>
    <w:rsid w:val="63A70E8C"/>
    <w:rsid w:val="63AC4359"/>
    <w:rsid w:val="63C04B8A"/>
    <w:rsid w:val="63CD32CA"/>
    <w:rsid w:val="63D25E78"/>
    <w:rsid w:val="63D347C9"/>
    <w:rsid w:val="63D42229"/>
    <w:rsid w:val="63D8474D"/>
    <w:rsid w:val="63D92960"/>
    <w:rsid w:val="63DB746A"/>
    <w:rsid w:val="63DF4869"/>
    <w:rsid w:val="63E257EE"/>
    <w:rsid w:val="63E5033D"/>
    <w:rsid w:val="63E60346"/>
    <w:rsid w:val="63EC0397"/>
    <w:rsid w:val="63EE162B"/>
    <w:rsid w:val="63F75B8A"/>
    <w:rsid w:val="63FC7559"/>
    <w:rsid w:val="64003199"/>
    <w:rsid w:val="640310C7"/>
    <w:rsid w:val="64155C8D"/>
    <w:rsid w:val="64177710"/>
    <w:rsid w:val="641B0760"/>
    <w:rsid w:val="641E1DE4"/>
    <w:rsid w:val="641E3DD8"/>
    <w:rsid w:val="64203CB4"/>
    <w:rsid w:val="64222857"/>
    <w:rsid w:val="643320A7"/>
    <w:rsid w:val="64335EB1"/>
    <w:rsid w:val="64383A64"/>
    <w:rsid w:val="64433CD0"/>
    <w:rsid w:val="64455B95"/>
    <w:rsid w:val="64495F72"/>
    <w:rsid w:val="644B25BC"/>
    <w:rsid w:val="644F1547"/>
    <w:rsid w:val="64546A26"/>
    <w:rsid w:val="645A76FE"/>
    <w:rsid w:val="645F063B"/>
    <w:rsid w:val="646855DB"/>
    <w:rsid w:val="64746F5B"/>
    <w:rsid w:val="647529CC"/>
    <w:rsid w:val="647F6D16"/>
    <w:rsid w:val="648D1A9F"/>
    <w:rsid w:val="6498217B"/>
    <w:rsid w:val="64987FF4"/>
    <w:rsid w:val="649C5B52"/>
    <w:rsid w:val="649F57CB"/>
    <w:rsid w:val="64A94344"/>
    <w:rsid w:val="64C12734"/>
    <w:rsid w:val="64C84BFC"/>
    <w:rsid w:val="64D0513C"/>
    <w:rsid w:val="64D61D8B"/>
    <w:rsid w:val="64DD517A"/>
    <w:rsid w:val="64EB1866"/>
    <w:rsid w:val="64EB2E2F"/>
    <w:rsid w:val="64F702F2"/>
    <w:rsid w:val="65046BCA"/>
    <w:rsid w:val="650B25A9"/>
    <w:rsid w:val="650E6AFA"/>
    <w:rsid w:val="651424EE"/>
    <w:rsid w:val="651548E6"/>
    <w:rsid w:val="651E67EB"/>
    <w:rsid w:val="65257BC1"/>
    <w:rsid w:val="65287A29"/>
    <w:rsid w:val="652B17D1"/>
    <w:rsid w:val="65352E51"/>
    <w:rsid w:val="65422E2C"/>
    <w:rsid w:val="654839FF"/>
    <w:rsid w:val="65490238"/>
    <w:rsid w:val="654A1941"/>
    <w:rsid w:val="65537EF9"/>
    <w:rsid w:val="65580853"/>
    <w:rsid w:val="65593C2E"/>
    <w:rsid w:val="655E1155"/>
    <w:rsid w:val="655F4773"/>
    <w:rsid w:val="65636455"/>
    <w:rsid w:val="6571334F"/>
    <w:rsid w:val="6572507F"/>
    <w:rsid w:val="658554FB"/>
    <w:rsid w:val="658835A0"/>
    <w:rsid w:val="658E08AA"/>
    <w:rsid w:val="658E43F4"/>
    <w:rsid w:val="6590252A"/>
    <w:rsid w:val="65904230"/>
    <w:rsid w:val="65A240BE"/>
    <w:rsid w:val="65A273A9"/>
    <w:rsid w:val="65A31666"/>
    <w:rsid w:val="65A823AD"/>
    <w:rsid w:val="65AE5114"/>
    <w:rsid w:val="65B61DD9"/>
    <w:rsid w:val="65BB4EEA"/>
    <w:rsid w:val="65BB5075"/>
    <w:rsid w:val="65C42F33"/>
    <w:rsid w:val="65C76D0B"/>
    <w:rsid w:val="65C8585C"/>
    <w:rsid w:val="65CB5A52"/>
    <w:rsid w:val="65D23BC4"/>
    <w:rsid w:val="65D969F1"/>
    <w:rsid w:val="65DA3181"/>
    <w:rsid w:val="65DF7832"/>
    <w:rsid w:val="65F01CCB"/>
    <w:rsid w:val="66030655"/>
    <w:rsid w:val="6619507C"/>
    <w:rsid w:val="661A524A"/>
    <w:rsid w:val="66215514"/>
    <w:rsid w:val="66222BC0"/>
    <w:rsid w:val="662861DC"/>
    <w:rsid w:val="66286B79"/>
    <w:rsid w:val="662D476F"/>
    <w:rsid w:val="66306F43"/>
    <w:rsid w:val="66326E97"/>
    <w:rsid w:val="66363F02"/>
    <w:rsid w:val="663B5A60"/>
    <w:rsid w:val="663F4723"/>
    <w:rsid w:val="664615E7"/>
    <w:rsid w:val="6648588B"/>
    <w:rsid w:val="664B780D"/>
    <w:rsid w:val="665242EE"/>
    <w:rsid w:val="665265F4"/>
    <w:rsid w:val="66554DE6"/>
    <w:rsid w:val="66604FC9"/>
    <w:rsid w:val="6666302E"/>
    <w:rsid w:val="666F0E5A"/>
    <w:rsid w:val="667322A4"/>
    <w:rsid w:val="66865A41"/>
    <w:rsid w:val="668F06DD"/>
    <w:rsid w:val="66943E18"/>
    <w:rsid w:val="66966C28"/>
    <w:rsid w:val="6699652A"/>
    <w:rsid w:val="66A016EB"/>
    <w:rsid w:val="66A93110"/>
    <w:rsid w:val="66AC664F"/>
    <w:rsid w:val="66AF2B2C"/>
    <w:rsid w:val="66B654CB"/>
    <w:rsid w:val="66B72A8D"/>
    <w:rsid w:val="66BA606C"/>
    <w:rsid w:val="66D14104"/>
    <w:rsid w:val="66D43C9F"/>
    <w:rsid w:val="66DC3EF7"/>
    <w:rsid w:val="66DE561C"/>
    <w:rsid w:val="66F0190D"/>
    <w:rsid w:val="67064E16"/>
    <w:rsid w:val="67120B62"/>
    <w:rsid w:val="672833FF"/>
    <w:rsid w:val="673100D9"/>
    <w:rsid w:val="6731395C"/>
    <w:rsid w:val="67320E20"/>
    <w:rsid w:val="67421678"/>
    <w:rsid w:val="67447CAA"/>
    <w:rsid w:val="675712BD"/>
    <w:rsid w:val="67603184"/>
    <w:rsid w:val="67615909"/>
    <w:rsid w:val="676569B0"/>
    <w:rsid w:val="676818B7"/>
    <w:rsid w:val="67693877"/>
    <w:rsid w:val="676B6D11"/>
    <w:rsid w:val="676E53AF"/>
    <w:rsid w:val="6772565E"/>
    <w:rsid w:val="677D4E65"/>
    <w:rsid w:val="678442B5"/>
    <w:rsid w:val="678A1A6C"/>
    <w:rsid w:val="678C78AF"/>
    <w:rsid w:val="679C72E6"/>
    <w:rsid w:val="679D7D9D"/>
    <w:rsid w:val="679E24FB"/>
    <w:rsid w:val="67A16316"/>
    <w:rsid w:val="67B52945"/>
    <w:rsid w:val="67B748D6"/>
    <w:rsid w:val="67B84A87"/>
    <w:rsid w:val="67B84CB4"/>
    <w:rsid w:val="67C03310"/>
    <w:rsid w:val="67C25449"/>
    <w:rsid w:val="67C36B0F"/>
    <w:rsid w:val="67C72B96"/>
    <w:rsid w:val="67D5396B"/>
    <w:rsid w:val="67DD018E"/>
    <w:rsid w:val="67DE5B6F"/>
    <w:rsid w:val="67E24A58"/>
    <w:rsid w:val="67E84BC2"/>
    <w:rsid w:val="67E967D4"/>
    <w:rsid w:val="67EA1DE2"/>
    <w:rsid w:val="67EE7234"/>
    <w:rsid w:val="67F43487"/>
    <w:rsid w:val="67F51F5D"/>
    <w:rsid w:val="68022961"/>
    <w:rsid w:val="680E0310"/>
    <w:rsid w:val="68133EB3"/>
    <w:rsid w:val="681C0F9C"/>
    <w:rsid w:val="68280A59"/>
    <w:rsid w:val="683747EF"/>
    <w:rsid w:val="68397A86"/>
    <w:rsid w:val="685448E5"/>
    <w:rsid w:val="68567ADB"/>
    <w:rsid w:val="685A52F7"/>
    <w:rsid w:val="686301D2"/>
    <w:rsid w:val="68641CAF"/>
    <w:rsid w:val="686F32ED"/>
    <w:rsid w:val="68736AA6"/>
    <w:rsid w:val="68763CFB"/>
    <w:rsid w:val="68775B46"/>
    <w:rsid w:val="687B4BF8"/>
    <w:rsid w:val="687C28C4"/>
    <w:rsid w:val="68817BAC"/>
    <w:rsid w:val="688C2914"/>
    <w:rsid w:val="68940B0A"/>
    <w:rsid w:val="68A65874"/>
    <w:rsid w:val="68AB1911"/>
    <w:rsid w:val="68AC7864"/>
    <w:rsid w:val="68BD0258"/>
    <w:rsid w:val="68BD141F"/>
    <w:rsid w:val="68C2312F"/>
    <w:rsid w:val="68CC74D0"/>
    <w:rsid w:val="68D40619"/>
    <w:rsid w:val="68D53366"/>
    <w:rsid w:val="68DA0494"/>
    <w:rsid w:val="68DD058C"/>
    <w:rsid w:val="68E84B74"/>
    <w:rsid w:val="68EC1986"/>
    <w:rsid w:val="68F97892"/>
    <w:rsid w:val="690224EE"/>
    <w:rsid w:val="690300E6"/>
    <w:rsid w:val="69080173"/>
    <w:rsid w:val="691318F3"/>
    <w:rsid w:val="691F004A"/>
    <w:rsid w:val="692563EE"/>
    <w:rsid w:val="69293AC0"/>
    <w:rsid w:val="692D6BB4"/>
    <w:rsid w:val="692D7F38"/>
    <w:rsid w:val="693D18C5"/>
    <w:rsid w:val="69456602"/>
    <w:rsid w:val="69471F8B"/>
    <w:rsid w:val="69542A7A"/>
    <w:rsid w:val="69656FD3"/>
    <w:rsid w:val="6965727E"/>
    <w:rsid w:val="69681D06"/>
    <w:rsid w:val="69713E8B"/>
    <w:rsid w:val="69782B53"/>
    <w:rsid w:val="69785369"/>
    <w:rsid w:val="6987746E"/>
    <w:rsid w:val="69BF2D66"/>
    <w:rsid w:val="69C22990"/>
    <w:rsid w:val="69C62E9A"/>
    <w:rsid w:val="69C75589"/>
    <w:rsid w:val="69C941AE"/>
    <w:rsid w:val="69D4612E"/>
    <w:rsid w:val="69D842E7"/>
    <w:rsid w:val="69D9569F"/>
    <w:rsid w:val="69F076EC"/>
    <w:rsid w:val="69F81A1E"/>
    <w:rsid w:val="69FC71B3"/>
    <w:rsid w:val="6A046C7D"/>
    <w:rsid w:val="6A0C4C59"/>
    <w:rsid w:val="6A0C7811"/>
    <w:rsid w:val="6A0E0287"/>
    <w:rsid w:val="6A0E500E"/>
    <w:rsid w:val="6A0E77F1"/>
    <w:rsid w:val="6A19339F"/>
    <w:rsid w:val="6A3001E9"/>
    <w:rsid w:val="6A342EDC"/>
    <w:rsid w:val="6A381CBF"/>
    <w:rsid w:val="6A55161C"/>
    <w:rsid w:val="6A56167F"/>
    <w:rsid w:val="6A65568E"/>
    <w:rsid w:val="6A6E67DD"/>
    <w:rsid w:val="6A8213EE"/>
    <w:rsid w:val="6A8C62B2"/>
    <w:rsid w:val="6A9553FE"/>
    <w:rsid w:val="6A96579C"/>
    <w:rsid w:val="6A9D278F"/>
    <w:rsid w:val="6AAB290E"/>
    <w:rsid w:val="6AAD773D"/>
    <w:rsid w:val="6AB8631A"/>
    <w:rsid w:val="6AC30E38"/>
    <w:rsid w:val="6AC328A8"/>
    <w:rsid w:val="6ACA383C"/>
    <w:rsid w:val="6AD37F7B"/>
    <w:rsid w:val="6ADB66AC"/>
    <w:rsid w:val="6ADD0889"/>
    <w:rsid w:val="6ADD74FD"/>
    <w:rsid w:val="6AF45472"/>
    <w:rsid w:val="6AFF671E"/>
    <w:rsid w:val="6B045E3C"/>
    <w:rsid w:val="6B0E5F7A"/>
    <w:rsid w:val="6B204A1A"/>
    <w:rsid w:val="6B213BD1"/>
    <w:rsid w:val="6B254070"/>
    <w:rsid w:val="6B2B523C"/>
    <w:rsid w:val="6B3335B1"/>
    <w:rsid w:val="6B3816B9"/>
    <w:rsid w:val="6B387F73"/>
    <w:rsid w:val="6B3B3534"/>
    <w:rsid w:val="6B457FC6"/>
    <w:rsid w:val="6B4D1FAA"/>
    <w:rsid w:val="6B5117E5"/>
    <w:rsid w:val="6B56687A"/>
    <w:rsid w:val="6B570F9E"/>
    <w:rsid w:val="6B647ABE"/>
    <w:rsid w:val="6B702C80"/>
    <w:rsid w:val="6B704D44"/>
    <w:rsid w:val="6B746FC5"/>
    <w:rsid w:val="6B7A4A17"/>
    <w:rsid w:val="6B7F1BF6"/>
    <w:rsid w:val="6B8A7D7E"/>
    <w:rsid w:val="6B9512FD"/>
    <w:rsid w:val="6B974C7E"/>
    <w:rsid w:val="6BA06E6D"/>
    <w:rsid w:val="6BA451E4"/>
    <w:rsid w:val="6BA7070C"/>
    <w:rsid w:val="6BA77A4D"/>
    <w:rsid w:val="6BB554FE"/>
    <w:rsid w:val="6BB56A5C"/>
    <w:rsid w:val="6BB87BB7"/>
    <w:rsid w:val="6BC12EDC"/>
    <w:rsid w:val="6BD711FB"/>
    <w:rsid w:val="6BE255D8"/>
    <w:rsid w:val="6BE76A97"/>
    <w:rsid w:val="6BF056A3"/>
    <w:rsid w:val="6BF14A5B"/>
    <w:rsid w:val="6BF43FAF"/>
    <w:rsid w:val="6BFB78C8"/>
    <w:rsid w:val="6C042F54"/>
    <w:rsid w:val="6C110991"/>
    <w:rsid w:val="6C1363EA"/>
    <w:rsid w:val="6C14445E"/>
    <w:rsid w:val="6C1F175D"/>
    <w:rsid w:val="6C386C1D"/>
    <w:rsid w:val="6C3E480C"/>
    <w:rsid w:val="6C4471AC"/>
    <w:rsid w:val="6C4A348A"/>
    <w:rsid w:val="6C4A4478"/>
    <w:rsid w:val="6C4E6C53"/>
    <w:rsid w:val="6C5002D5"/>
    <w:rsid w:val="6C523F43"/>
    <w:rsid w:val="6C527AA4"/>
    <w:rsid w:val="6C64734B"/>
    <w:rsid w:val="6C777224"/>
    <w:rsid w:val="6C7C0FBC"/>
    <w:rsid w:val="6C83021C"/>
    <w:rsid w:val="6C83219C"/>
    <w:rsid w:val="6C833B41"/>
    <w:rsid w:val="6C97436A"/>
    <w:rsid w:val="6C9803A4"/>
    <w:rsid w:val="6C992D5E"/>
    <w:rsid w:val="6C9D70AF"/>
    <w:rsid w:val="6CA22C96"/>
    <w:rsid w:val="6CAF4A99"/>
    <w:rsid w:val="6CB13502"/>
    <w:rsid w:val="6CCD4BDE"/>
    <w:rsid w:val="6CD323B8"/>
    <w:rsid w:val="6CD7528E"/>
    <w:rsid w:val="6CDD7CF5"/>
    <w:rsid w:val="6CE71ED8"/>
    <w:rsid w:val="6CEC4A5C"/>
    <w:rsid w:val="6CED3141"/>
    <w:rsid w:val="6CF33107"/>
    <w:rsid w:val="6CF57B18"/>
    <w:rsid w:val="6CFC0F53"/>
    <w:rsid w:val="6CFC3ED1"/>
    <w:rsid w:val="6D027121"/>
    <w:rsid w:val="6D15191A"/>
    <w:rsid w:val="6D164F86"/>
    <w:rsid w:val="6D194788"/>
    <w:rsid w:val="6D1C66E8"/>
    <w:rsid w:val="6D243939"/>
    <w:rsid w:val="6D3125B4"/>
    <w:rsid w:val="6D351FB7"/>
    <w:rsid w:val="6D36200B"/>
    <w:rsid w:val="6D390ED7"/>
    <w:rsid w:val="6D3F53F1"/>
    <w:rsid w:val="6D4308D3"/>
    <w:rsid w:val="6D447778"/>
    <w:rsid w:val="6D4A5F2F"/>
    <w:rsid w:val="6D620170"/>
    <w:rsid w:val="6D631B70"/>
    <w:rsid w:val="6D641A37"/>
    <w:rsid w:val="6D6C2184"/>
    <w:rsid w:val="6D6D3796"/>
    <w:rsid w:val="6D777E6B"/>
    <w:rsid w:val="6D790A7C"/>
    <w:rsid w:val="6D7A3305"/>
    <w:rsid w:val="6D7C2147"/>
    <w:rsid w:val="6D800BC7"/>
    <w:rsid w:val="6D84645E"/>
    <w:rsid w:val="6D8F437E"/>
    <w:rsid w:val="6D9046F9"/>
    <w:rsid w:val="6D975919"/>
    <w:rsid w:val="6D990245"/>
    <w:rsid w:val="6D997573"/>
    <w:rsid w:val="6DA01AC5"/>
    <w:rsid w:val="6DA026C8"/>
    <w:rsid w:val="6DA5760F"/>
    <w:rsid w:val="6DAD31F1"/>
    <w:rsid w:val="6DB4207F"/>
    <w:rsid w:val="6DB46943"/>
    <w:rsid w:val="6DB56D43"/>
    <w:rsid w:val="6DB62F23"/>
    <w:rsid w:val="6DBB03FB"/>
    <w:rsid w:val="6DC62455"/>
    <w:rsid w:val="6DDF1B7F"/>
    <w:rsid w:val="6DE6435A"/>
    <w:rsid w:val="6DED42F9"/>
    <w:rsid w:val="6DEF2A6B"/>
    <w:rsid w:val="6DEF50B8"/>
    <w:rsid w:val="6DFB6D2D"/>
    <w:rsid w:val="6DFD0A13"/>
    <w:rsid w:val="6E017B27"/>
    <w:rsid w:val="6E017B4B"/>
    <w:rsid w:val="6E035FBA"/>
    <w:rsid w:val="6E0B1670"/>
    <w:rsid w:val="6E0E55A1"/>
    <w:rsid w:val="6E123F60"/>
    <w:rsid w:val="6E162FAB"/>
    <w:rsid w:val="6E1745F7"/>
    <w:rsid w:val="6E1E4715"/>
    <w:rsid w:val="6E297170"/>
    <w:rsid w:val="6E30398B"/>
    <w:rsid w:val="6E5231A4"/>
    <w:rsid w:val="6E5A40EE"/>
    <w:rsid w:val="6E671D27"/>
    <w:rsid w:val="6E6E6B53"/>
    <w:rsid w:val="6E7143EE"/>
    <w:rsid w:val="6E7A0736"/>
    <w:rsid w:val="6E7D48F4"/>
    <w:rsid w:val="6E8A64FD"/>
    <w:rsid w:val="6E9C16AF"/>
    <w:rsid w:val="6E9D390D"/>
    <w:rsid w:val="6EA45755"/>
    <w:rsid w:val="6EA9047C"/>
    <w:rsid w:val="6EB76C30"/>
    <w:rsid w:val="6EB83E57"/>
    <w:rsid w:val="6EB97BB5"/>
    <w:rsid w:val="6ECE49D4"/>
    <w:rsid w:val="6ED20C37"/>
    <w:rsid w:val="6ED72B2B"/>
    <w:rsid w:val="6ED9046A"/>
    <w:rsid w:val="6EE10B05"/>
    <w:rsid w:val="6EE95641"/>
    <w:rsid w:val="6EEB713E"/>
    <w:rsid w:val="6EF115F9"/>
    <w:rsid w:val="6F0472BB"/>
    <w:rsid w:val="6F062965"/>
    <w:rsid w:val="6F0D763F"/>
    <w:rsid w:val="6F102BB9"/>
    <w:rsid w:val="6F17348E"/>
    <w:rsid w:val="6F1906FC"/>
    <w:rsid w:val="6F193453"/>
    <w:rsid w:val="6F206808"/>
    <w:rsid w:val="6F2E0C37"/>
    <w:rsid w:val="6F45301C"/>
    <w:rsid w:val="6F474B62"/>
    <w:rsid w:val="6F537CC8"/>
    <w:rsid w:val="6F54013B"/>
    <w:rsid w:val="6F580867"/>
    <w:rsid w:val="6F5B3B07"/>
    <w:rsid w:val="6F6000F3"/>
    <w:rsid w:val="6F7A7501"/>
    <w:rsid w:val="6F877309"/>
    <w:rsid w:val="6F974134"/>
    <w:rsid w:val="6FAA7810"/>
    <w:rsid w:val="6FAB7D95"/>
    <w:rsid w:val="6FAD23B4"/>
    <w:rsid w:val="6FAD5E72"/>
    <w:rsid w:val="6FBD7D61"/>
    <w:rsid w:val="6FC403D9"/>
    <w:rsid w:val="6FC42EAB"/>
    <w:rsid w:val="6FD101F3"/>
    <w:rsid w:val="6FDC378F"/>
    <w:rsid w:val="6FDC5C4D"/>
    <w:rsid w:val="6FE54803"/>
    <w:rsid w:val="6FE54985"/>
    <w:rsid w:val="6FE60FC7"/>
    <w:rsid w:val="6FE856E7"/>
    <w:rsid w:val="6FEC7554"/>
    <w:rsid w:val="6FF1283A"/>
    <w:rsid w:val="6FF4469C"/>
    <w:rsid w:val="6FF70359"/>
    <w:rsid w:val="6FF77C50"/>
    <w:rsid w:val="6FF90C4A"/>
    <w:rsid w:val="6FFE0759"/>
    <w:rsid w:val="702B43B8"/>
    <w:rsid w:val="702C7A97"/>
    <w:rsid w:val="70322B47"/>
    <w:rsid w:val="70375E28"/>
    <w:rsid w:val="703C0D6E"/>
    <w:rsid w:val="703E484A"/>
    <w:rsid w:val="704D63D2"/>
    <w:rsid w:val="70563262"/>
    <w:rsid w:val="70576B41"/>
    <w:rsid w:val="705873A3"/>
    <w:rsid w:val="706630F4"/>
    <w:rsid w:val="709910D5"/>
    <w:rsid w:val="709B4AFB"/>
    <w:rsid w:val="70C15D8C"/>
    <w:rsid w:val="70D216D3"/>
    <w:rsid w:val="70D47D98"/>
    <w:rsid w:val="70DD1E39"/>
    <w:rsid w:val="70F659AE"/>
    <w:rsid w:val="70FD48EC"/>
    <w:rsid w:val="71010D74"/>
    <w:rsid w:val="710F7DD8"/>
    <w:rsid w:val="711F373C"/>
    <w:rsid w:val="71446711"/>
    <w:rsid w:val="714612DD"/>
    <w:rsid w:val="71534AAE"/>
    <w:rsid w:val="716232AB"/>
    <w:rsid w:val="716C54B9"/>
    <w:rsid w:val="717A6292"/>
    <w:rsid w:val="717C638C"/>
    <w:rsid w:val="718879FA"/>
    <w:rsid w:val="719B216D"/>
    <w:rsid w:val="71A40936"/>
    <w:rsid w:val="71B752EE"/>
    <w:rsid w:val="71C66F16"/>
    <w:rsid w:val="71DB12A7"/>
    <w:rsid w:val="71DE0262"/>
    <w:rsid w:val="71E732A0"/>
    <w:rsid w:val="71F8010D"/>
    <w:rsid w:val="72026398"/>
    <w:rsid w:val="72106EC5"/>
    <w:rsid w:val="72106F1F"/>
    <w:rsid w:val="7211200F"/>
    <w:rsid w:val="721D243E"/>
    <w:rsid w:val="721E0247"/>
    <w:rsid w:val="722D57C7"/>
    <w:rsid w:val="724062B5"/>
    <w:rsid w:val="724A0704"/>
    <w:rsid w:val="724F46F0"/>
    <w:rsid w:val="724F472E"/>
    <w:rsid w:val="7255143F"/>
    <w:rsid w:val="72630696"/>
    <w:rsid w:val="72633CE2"/>
    <w:rsid w:val="726436E6"/>
    <w:rsid w:val="72651885"/>
    <w:rsid w:val="7267715A"/>
    <w:rsid w:val="726870B8"/>
    <w:rsid w:val="72700C83"/>
    <w:rsid w:val="727870BC"/>
    <w:rsid w:val="727E1CA8"/>
    <w:rsid w:val="727E6483"/>
    <w:rsid w:val="728453D5"/>
    <w:rsid w:val="72891004"/>
    <w:rsid w:val="72916007"/>
    <w:rsid w:val="72935827"/>
    <w:rsid w:val="72966C68"/>
    <w:rsid w:val="729937A7"/>
    <w:rsid w:val="7299381B"/>
    <w:rsid w:val="729B6C7B"/>
    <w:rsid w:val="729B79DD"/>
    <w:rsid w:val="72A16707"/>
    <w:rsid w:val="72A27169"/>
    <w:rsid w:val="72A96531"/>
    <w:rsid w:val="72B43E14"/>
    <w:rsid w:val="72B6163B"/>
    <w:rsid w:val="72BB1BA7"/>
    <w:rsid w:val="72C96161"/>
    <w:rsid w:val="72D051AC"/>
    <w:rsid w:val="72D05F60"/>
    <w:rsid w:val="72ED426C"/>
    <w:rsid w:val="72F70580"/>
    <w:rsid w:val="72F91A90"/>
    <w:rsid w:val="73000839"/>
    <w:rsid w:val="730313CC"/>
    <w:rsid w:val="73035041"/>
    <w:rsid w:val="73073B1B"/>
    <w:rsid w:val="730A0309"/>
    <w:rsid w:val="730E33D2"/>
    <w:rsid w:val="731C314C"/>
    <w:rsid w:val="731C42B4"/>
    <w:rsid w:val="732927A3"/>
    <w:rsid w:val="73303587"/>
    <w:rsid w:val="73323045"/>
    <w:rsid w:val="73427202"/>
    <w:rsid w:val="734333B2"/>
    <w:rsid w:val="73473252"/>
    <w:rsid w:val="734B5436"/>
    <w:rsid w:val="735500D5"/>
    <w:rsid w:val="73637990"/>
    <w:rsid w:val="73663A61"/>
    <w:rsid w:val="73671066"/>
    <w:rsid w:val="736F68EF"/>
    <w:rsid w:val="73812244"/>
    <w:rsid w:val="73861C37"/>
    <w:rsid w:val="73877D6B"/>
    <w:rsid w:val="73906636"/>
    <w:rsid w:val="739D6139"/>
    <w:rsid w:val="739E743E"/>
    <w:rsid w:val="73A00AF1"/>
    <w:rsid w:val="73A875B8"/>
    <w:rsid w:val="73B02110"/>
    <w:rsid w:val="73CD7F8D"/>
    <w:rsid w:val="73CE0E30"/>
    <w:rsid w:val="73D52248"/>
    <w:rsid w:val="73E20C0B"/>
    <w:rsid w:val="73E20E2C"/>
    <w:rsid w:val="73E221A2"/>
    <w:rsid w:val="73EE737A"/>
    <w:rsid w:val="73F17151"/>
    <w:rsid w:val="73F95D4E"/>
    <w:rsid w:val="74044161"/>
    <w:rsid w:val="740F05CE"/>
    <w:rsid w:val="74125E4D"/>
    <w:rsid w:val="74194164"/>
    <w:rsid w:val="741A35D6"/>
    <w:rsid w:val="741C0ACA"/>
    <w:rsid w:val="741C2B81"/>
    <w:rsid w:val="742D6B25"/>
    <w:rsid w:val="742D7EA2"/>
    <w:rsid w:val="7439183B"/>
    <w:rsid w:val="744446C4"/>
    <w:rsid w:val="74524A6C"/>
    <w:rsid w:val="74550BC8"/>
    <w:rsid w:val="745D46B6"/>
    <w:rsid w:val="747E2170"/>
    <w:rsid w:val="748A33E9"/>
    <w:rsid w:val="749850D8"/>
    <w:rsid w:val="74994FF2"/>
    <w:rsid w:val="749F02E6"/>
    <w:rsid w:val="74A63B0E"/>
    <w:rsid w:val="74A93ADB"/>
    <w:rsid w:val="74AB764B"/>
    <w:rsid w:val="74AE1E20"/>
    <w:rsid w:val="74AF159D"/>
    <w:rsid w:val="74B60738"/>
    <w:rsid w:val="74B94C23"/>
    <w:rsid w:val="74BA0C6B"/>
    <w:rsid w:val="74BB501E"/>
    <w:rsid w:val="74C03BE2"/>
    <w:rsid w:val="74C12CB2"/>
    <w:rsid w:val="74C1629C"/>
    <w:rsid w:val="74D80E1A"/>
    <w:rsid w:val="74DF2526"/>
    <w:rsid w:val="74E8080B"/>
    <w:rsid w:val="74EB4B62"/>
    <w:rsid w:val="74EE31EA"/>
    <w:rsid w:val="74EE39D4"/>
    <w:rsid w:val="74FA202A"/>
    <w:rsid w:val="74FA2880"/>
    <w:rsid w:val="74FD5BBD"/>
    <w:rsid w:val="75026370"/>
    <w:rsid w:val="7503140E"/>
    <w:rsid w:val="75046088"/>
    <w:rsid w:val="750B4F95"/>
    <w:rsid w:val="750F2F44"/>
    <w:rsid w:val="7510711A"/>
    <w:rsid w:val="75225CBF"/>
    <w:rsid w:val="7534240C"/>
    <w:rsid w:val="75350693"/>
    <w:rsid w:val="75371C19"/>
    <w:rsid w:val="7546677D"/>
    <w:rsid w:val="7548684B"/>
    <w:rsid w:val="754B2AC0"/>
    <w:rsid w:val="754C78D5"/>
    <w:rsid w:val="754D466C"/>
    <w:rsid w:val="754F4CC4"/>
    <w:rsid w:val="754F701B"/>
    <w:rsid w:val="75537945"/>
    <w:rsid w:val="755809C4"/>
    <w:rsid w:val="755C32D8"/>
    <w:rsid w:val="75680D68"/>
    <w:rsid w:val="756E0B0A"/>
    <w:rsid w:val="757031D9"/>
    <w:rsid w:val="75750081"/>
    <w:rsid w:val="75765B5E"/>
    <w:rsid w:val="757B0FEB"/>
    <w:rsid w:val="757C314C"/>
    <w:rsid w:val="75814167"/>
    <w:rsid w:val="75842DFC"/>
    <w:rsid w:val="758E68E9"/>
    <w:rsid w:val="759E72E5"/>
    <w:rsid w:val="75A667A1"/>
    <w:rsid w:val="75AB1086"/>
    <w:rsid w:val="75B9416A"/>
    <w:rsid w:val="75BE0722"/>
    <w:rsid w:val="75C003BD"/>
    <w:rsid w:val="75C07FC8"/>
    <w:rsid w:val="75C247F2"/>
    <w:rsid w:val="75C367A6"/>
    <w:rsid w:val="75CD2669"/>
    <w:rsid w:val="75CD7BB5"/>
    <w:rsid w:val="75DB3B29"/>
    <w:rsid w:val="75DE60CE"/>
    <w:rsid w:val="75E9087A"/>
    <w:rsid w:val="75F1698E"/>
    <w:rsid w:val="75F1777F"/>
    <w:rsid w:val="75FD499F"/>
    <w:rsid w:val="760D5AFF"/>
    <w:rsid w:val="761376E3"/>
    <w:rsid w:val="7617263F"/>
    <w:rsid w:val="761C72F5"/>
    <w:rsid w:val="762B52EC"/>
    <w:rsid w:val="763255D2"/>
    <w:rsid w:val="76437D02"/>
    <w:rsid w:val="76460AE3"/>
    <w:rsid w:val="764B0BC9"/>
    <w:rsid w:val="764E5308"/>
    <w:rsid w:val="764F1267"/>
    <w:rsid w:val="765120A6"/>
    <w:rsid w:val="7651349B"/>
    <w:rsid w:val="766279A2"/>
    <w:rsid w:val="766A516F"/>
    <w:rsid w:val="766D5F57"/>
    <w:rsid w:val="76752AAE"/>
    <w:rsid w:val="767F05D4"/>
    <w:rsid w:val="76807564"/>
    <w:rsid w:val="769E7333"/>
    <w:rsid w:val="76A220B6"/>
    <w:rsid w:val="76B0479B"/>
    <w:rsid w:val="76BA6056"/>
    <w:rsid w:val="76BD6FDB"/>
    <w:rsid w:val="76BF7D3D"/>
    <w:rsid w:val="76C52AEB"/>
    <w:rsid w:val="76D264D4"/>
    <w:rsid w:val="76D33F40"/>
    <w:rsid w:val="76E66CF2"/>
    <w:rsid w:val="76E955C3"/>
    <w:rsid w:val="76F94659"/>
    <w:rsid w:val="76FD43AC"/>
    <w:rsid w:val="76FE39AD"/>
    <w:rsid w:val="77073F57"/>
    <w:rsid w:val="77091725"/>
    <w:rsid w:val="7710141C"/>
    <w:rsid w:val="77123ACC"/>
    <w:rsid w:val="771357EC"/>
    <w:rsid w:val="77181A42"/>
    <w:rsid w:val="771E16D3"/>
    <w:rsid w:val="77247924"/>
    <w:rsid w:val="772B1B20"/>
    <w:rsid w:val="773B78A9"/>
    <w:rsid w:val="77510935"/>
    <w:rsid w:val="775846FD"/>
    <w:rsid w:val="775F45E6"/>
    <w:rsid w:val="77634F3B"/>
    <w:rsid w:val="777C6115"/>
    <w:rsid w:val="777F4D61"/>
    <w:rsid w:val="7793189B"/>
    <w:rsid w:val="77BA2DB4"/>
    <w:rsid w:val="77C522CE"/>
    <w:rsid w:val="77D039DB"/>
    <w:rsid w:val="77D36332"/>
    <w:rsid w:val="77D47475"/>
    <w:rsid w:val="77D5273D"/>
    <w:rsid w:val="77D547E3"/>
    <w:rsid w:val="77D558AA"/>
    <w:rsid w:val="77D62A56"/>
    <w:rsid w:val="77E62733"/>
    <w:rsid w:val="77ED4572"/>
    <w:rsid w:val="77F03ED5"/>
    <w:rsid w:val="77F84B71"/>
    <w:rsid w:val="77F87021"/>
    <w:rsid w:val="7803659F"/>
    <w:rsid w:val="780E1955"/>
    <w:rsid w:val="781801D5"/>
    <w:rsid w:val="78293DC3"/>
    <w:rsid w:val="782D2D9B"/>
    <w:rsid w:val="782E78FF"/>
    <w:rsid w:val="78303D52"/>
    <w:rsid w:val="78330E0B"/>
    <w:rsid w:val="78333364"/>
    <w:rsid w:val="783A6B2F"/>
    <w:rsid w:val="783F4F70"/>
    <w:rsid w:val="78412251"/>
    <w:rsid w:val="78553BB8"/>
    <w:rsid w:val="785B4C20"/>
    <w:rsid w:val="785D218D"/>
    <w:rsid w:val="7869031C"/>
    <w:rsid w:val="78755E1D"/>
    <w:rsid w:val="78AB4E34"/>
    <w:rsid w:val="78B8567C"/>
    <w:rsid w:val="78BD7F9F"/>
    <w:rsid w:val="78CF2CC4"/>
    <w:rsid w:val="78DD2859"/>
    <w:rsid w:val="78EA61E9"/>
    <w:rsid w:val="78F7615B"/>
    <w:rsid w:val="78FA5EDA"/>
    <w:rsid w:val="78FD1F09"/>
    <w:rsid w:val="78FD2962"/>
    <w:rsid w:val="78FE6EAC"/>
    <w:rsid w:val="79073835"/>
    <w:rsid w:val="79175EB6"/>
    <w:rsid w:val="79187CFE"/>
    <w:rsid w:val="791B36E7"/>
    <w:rsid w:val="791F220A"/>
    <w:rsid w:val="792C4115"/>
    <w:rsid w:val="79307089"/>
    <w:rsid w:val="79373219"/>
    <w:rsid w:val="794A4288"/>
    <w:rsid w:val="794C7980"/>
    <w:rsid w:val="794F2C01"/>
    <w:rsid w:val="7954036F"/>
    <w:rsid w:val="7963139E"/>
    <w:rsid w:val="797132F1"/>
    <w:rsid w:val="7981755F"/>
    <w:rsid w:val="79822FDC"/>
    <w:rsid w:val="798B23A6"/>
    <w:rsid w:val="798B3C38"/>
    <w:rsid w:val="798D25D2"/>
    <w:rsid w:val="79981FE8"/>
    <w:rsid w:val="79A2018E"/>
    <w:rsid w:val="79A4023E"/>
    <w:rsid w:val="79A86542"/>
    <w:rsid w:val="79B97D87"/>
    <w:rsid w:val="79BE5E62"/>
    <w:rsid w:val="79BF626C"/>
    <w:rsid w:val="79D00261"/>
    <w:rsid w:val="79D45353"/>
    <w:rsid w:val="79D72059"/>
    <w:rsid w:val="79E652F3"/>
    <w:rsid w:val="79EC33C3"/>
    <w:rsid w:val="79F67F8F"/>
    <w:rsid w:val="79FC2AA8"/>
    <w:rsid w:val="7A107C8F"/>
    <w:rsid w:val="7A1C1793"/>
    <w:rsid w:val="7A1C4DC7"/>
    <w:rsid w:val="7A2769D9"/>
    <w:rsid w:val="7A2E73B3"/>
    <w:rsid w:val="7A376501"/>
    <w:rsid w:val="7A3A0217"/>
    <w:rsid w:val="7A3A078E"/>
    <w:rsid w:val="7A3D442E"/>
    <w:rsid w:val="7A45124E"/>
    <w:rsid w:val="7A47525B"/>
    <w:rsid w:val="7A49683B"/>
    <w:rsid w:val="7A4C7BCA"/>
    <w:rsid w:val="7A5375F6"/>
    <w:rsid w:val="7A5955C8"/>
    <w:rsid w:val="7A6D0C60"/>
    <w:rsid w:val="7A7051EE"/>
    <w:rsid w:val="7A7F307F"/>
    <w:rsid w:val="7A8363CF"/>
    <w:rsid w:val="7A850292"/>
    <w:rsid w:val="7A864059"/>
    <w:rsid w:val="7A8759F4"/>
    <w:rsid w:val="7A8D3C3C"/>
    <w:rsid w:val="7A945BC3"/>
    <w:rsid w:val="7A991285"/>
    <w:rsid w:val="7A9C0D44"/>
    <w:rsid w:val="7AA7754C"/>
    <w:rsid w:val="7AAC03BC"/>
    <w:rsid w:val="7AB2157C"/>
    <w:rsid w:val="7AB64A22"/>
    <w:rsid w:val="7AC15EF1"/>
    <w:rsid w:val="7AC179AB"/>
    <w:rsid w:val="7AC25CC5"/>
    <w:rsid w:val="7AC528C4"/>
    <w:rsid w:val="7ACB2084"/>
    <w:rsid w:val="7ACE4545"/>
    <w:rsid w:val="7AD35696"/>
    <w:rsid w:val="7AD42E32"/>
    <w:rsid w:val="7ADD23D2"/>
    <w:rsid w:val="7AE04623"/>
    <w:rsid w:val="7AE80992"/>
    <w:rsid w:val="7AE9752E"/>
    <w:rsid w:val="7AEC1055"/>
    <w:rsid w:val="7AED3CDF"/>
    <w:rsid w:val="7AEF52E1"/>
    <w:rsid w:val="7AF50E1E"/>
    <w:rsid w:val="7AF51135"/>
    <w:rsid w:val="7AFC46DA"/>
    <w:rsid w:val="7AFE078F"/>
    <w:rsid w:val="7B0320BB"/>
    <w:rsid w:val="7B1E3029"/>
    <w:rsid w:val="7B1E76B6"/>
    <w:rsid w:val="7B2434C8"/>
    <w:rsid w:val="7B2B5921"/>
    <w:rsid w:val="7B5204F9"/>
    <w:rsid w:val="7B5E2383"/>
    <w:rsid w:val="7B6E188D"/>
    <w:rsid w:val="7B6E3852"/>
    <w:rsid w:val="7B745405"/>
    <w:rsid w:val="7B780677"/>
    <w:rsid w:val="7B846902"/>
    <w:rsid w:val="7B854D36"/>
    <w:rsid w:val="7B911201"/>
    <w:rsid w:val="7B985F55"/>
    <w:rsid w:val="7B9C23E8"/>
    <w:rsid w:val="7B9C3BF4"/>
    <w:rsid w:val="7BAE3A12"/>
    <w:rsid w:val="7BCB44ED"/>
    <w:rsid w:val="7BCD7043"/>
    <w:rsid w:val="7BDA2B39"/>
    <w:rsid w:val="7BDF7110"/>
    <w:rsid w:val="7BE717EA"/>
    <w:rsid w:val="7BF201C6"/>
    <w:rsid w:val="7C043584"/>
    <w:rsid w:val="7C0465B0"/>
    <w:rsid w:val="7C0815E0"/>
    <w:rsid w:val="7C196736"/>
    <w:rsid w:val="7C1D75B0"/>
    <w:rsid w:val="7C274E7E"/>
    <w:rsid w:val="7C280E42"/>
    <w:rsid w:val="7C29147F"/>
    <w:rsid w:val="7C4E620F"/>
    <w:rsid w:val="7C627E0D"/>
    <w:rsid w:val="7C6629CF"/>
    <w:rsid w:val="7C6F5D04"/>
    <w:rsid w:val="7C7A20BD"/>
    <w:rsid w:val="7C7F4F3C"/>
    <w:rsid w:val="7C901AEB"/>
    <w:rsid w:val="7C9B44B6"/>
    <w:rsid w:val="7C9C55B4"/>
    <w:rsid w:val="7CA05EF4"/>
    <w:rsid w:val="7CA20818"/>
    <w:rsid w:val="7CA544A2"/>
    <w:rsid w:val="7CAD59A1"/>
    <w:rsid w:val="7CB347D7"/>
    <w:rsid w:val="7CB553E5"/>
    <w:rsid w:val="7CCD67D7"/>
    <w:rsid w:val="7CE07511"/>
    <w:rsid w:val="7CE21673"/>
    <w:rsid w:val="7CE2570E"/>
    <w:rsid w:val="7CE7314F"/>
    <w:rsid w:val="7CF45745"/>
    <w:rsid w:val="7D0C418B"/>
    <w:rsid w:val="7D106D92"/>
    <w:rsid w:val="7D1B7BFB"/>
    <w:rsid w:val="7D276660"/>
    <w:rsid w:val="7D295F33"/>
    <w:rsid w:val="7D2D0569"/>
    <w:rsid w:val="7D2D2D90"/>
    <w:rsid w:val="7D393FED"/>
    <w:rsid w:val="7D4033FD"/>
    <w:rsid w:val="7D4D307B"/>
    <w:rsid w:val="7D4D5856"/>
    <w:rsid w:val="7D537A55"/>
    <w:rsid w:val="7D540062"/>
    <w:rsid w:val="7D583911"/>
    <w:rsid w:val="7D6D5733"/>
    <w:rsid w:val="7D737A9C"/>
    <w:rsid w:val="7D74270C"/>
    <w:rsid w:val="7D826F26"/>
    <w:rsid w:val="7D8E58E9"/>
    <w:rsid w:val="7D926D06"/>
    <w:rsid w:val="7D933791"/>
    <w:rsid w:val="7D967F99"/>
    <w:rsid w:val="7DA2752B"/>
    <w:rsid w:val="7DA50C13"/>
    <w:rsid w:val="7DA90031"/>
    <w:rsid w:val="7DAA16F6"/>
    <w:rsid w:val="7DAF7F6B"/>
    <w:rsid w:val="7DB33C5F"/>
    <w:rsid w:val="7DB61C4E"/>
    <w:rsid w:val="7DD040B2"/>
    <w:rsid w:val="7DD844CB"/>
    <w:rsid w:val="7DDA79B6"/>
    <w:rsid w:val="7DE14EF9"/>
    <w:rsid w:val="7DEA3B28"/>
    <w:rsid w:val="7DED63B1"/>
    <w:rsid w:val="7DEE794F"/>
    <w:rsid w:val="7DF0751D"/>
    <w:rsid w:val="7E001BC6"/>
    <w:rsid w:val="7E0C3060"/>
    <w:rsid w:val="7E0E51B0"/>
    <w:rsid w:val="7E183EEA"/>
    <w:rsid w:val="7E2F65C9"/>
    <w:rsid w:val="7E327526"/>
    <w:rsid w:val="7E440B2B"/>
    <w:rsid w:val="7E440C10"/>
    <w:rsid w:val="7E4851EA"/>
    <w:rsid w:val="7E4A22B2"/>
    <w:rsid w:val="7E4E375D"/>
    <w:rsid w:val="7E4F61B6"/>
    <w:rsid w:val="7E5F6110"/>
    <w:rsid w:val="7E6752B6"/>
    <w:rsid w:val="7E694F72"/>
    <w:rsid w:val="7E717A7B"/>
    <w:rsid w:val="7E77254B"/>
    <w:rsid w:val="7E80292D"/>
    <w:rsid w:val="7E805FD1"/>
    <w:rsid w:val="7E84382C"/>
    <w:rsid w:val="7E855AE7"/>
    <w:rsid w:val="7E875F23"/>
    <w:rsid w:val="7E8B3D29"/>
    <w:rsid w:val="7E91611B"/>
    <w:rsid w:val="7E9B065D"/>
    <w:rsid w:val="7E9D718F"/>
    <w:rsid w:val="7EA7411B"/>
    <w:rsid w:val="7EA874D5"/>
    <w:rsid w:val="7EAA0221"/>
    <w:rsid w:val="7EAF2013"/>
    <w:rsid w:val="7EB02A3C"/>
    <w:rsid w:val="7EB2593D"/>
    <w:rsid w:val="7EB714C1"/>
    <w:rsid w:val="7EB835B8"/>
    <w:rsid w:val="7EC301BA"/>
    <w:rsid w:val="7EC97091"/>
    <w:rsid w:val="7ED326C7"/>
    <w:rsid w:val="7EDF0805"/>
    <w:rsid w:val="7EF618DD"/>
    <w:rsid w:val="7EFB70B7"/>
    <w:rsid w:val="7F0A6F2E"/>
    <w:rsid w:val="7F21551C"/>
    <w:rsid w:val="7F234D02"/>
    <w:rsid w:val="7F251450"/>
    <w:rsid w:val="7F3161A9"/>
    <w:rsid w:val="7F317B7F"/>
    <w:rsid w:val="7F381A47"/>
    <w:rsid w:val="7F3932D6"/>
    <w:rsid w:val="7F3B3199"/>
    <w:rsid w:val="7F3D07F6"/>
    <w:rsid w:val="7F4A4889"/>
    <w:rsid w:val="7F4D23DA"/>
    <w:rsid w:val="7F5458D0"/>
    <w:rsid w:val="7F5F214F"/>
    <w:rsid w:val="7F613C7E"/>
    <w:rsid w:val="7F63160A"/>
    <w:rsid w:val="7F64085D"/>
    <w:rsid w:val="7F65557D"/>
    <w:rsid w:val="7F666046"/>
    <w:rsid w:val="7F6F4C66"/>
    <w:rsid w:val="7F827F3A"/>
    <w:rsid w:val="7F834C81"/>
    <w:rsid w:val="7F886A6A"/>
    <w:rsid w:val="7F8D7BFF"/>
    <w:rsid w:val="7F912BF1"/>
    <w:rsid w:val="7FA4150B"/>
    <w:rsid w:val="7FA51D95"/>
    <w:rsid w:val="7FC16445"/>
    <w:rsid w:val="7FCC65E5"/>
    <w:rsid w:val="7FD25345"/>
    <w:rsid w:val="7FDF0363"/>
    <w:rsid w:val="7FE855AD"/>
    <w:rsid w:val="7FED3E81"/>
    <w:rsid w:val="7FED79B9"/>
    <w:rsid w:val="7FF33517"/>
    <w:rsid w:val="7FF37A01"/>
    <w:rsid w:val="7FFA696E"/>
    <w:rsid w:val="7FFE6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caption"/>
    <w:basedOn w:val="1"/>
    <w:next w:val="1"/>
    <w:unhideWhenUsed/>
    <w:qFormat/>
    <w:uiPriority w:val="35"/>
    <w:pPr>
      <w:spacing w:after="200"/>
      <w:jc w:val="center"/>
    </w:pPr>
    <w:rPr>
      <w:rFonts w:ascii="Arial" w:hAnsi="Arial"/>
      <w:i/>
      <w:iCs/>
      <w:sz w:val="18"/>
      <w:szCs w:val="18"/>
    </w:rPr>
  </w:style>
  <w:style w:type="paragraph" w:styleId="23">
    <w:name w:val="annotation text"/>
    <w:basedOn w:val="1"/>
    <w:qFormat/>
    <w:uiPriority w:val="0"/>
  </w:style>
  <w:style w:type="paragraph" w:styleId="24">
    <w:name w:val="Body Text"/>
    <w:basedOn w:val="1"/>
    <w:qFormat/>
    <w:uiPriority w:val="0"/>
    <w:pPr>
      <w:spacing w:after="120"/>
      <w:jc w:val="both"/>
    </w:pPr>
    <w:rPr>
      <w:rFonts w:eastAsia="MS Mincho"/>
    </w:rPr>
  </w:style>
  <w:style w:type="paragraph" w:styleId="25">
    <w:name w:val="toc 8"/>
    <w:basedOn w:val="21"/>
    <w:next w:val="1"/>
    <w:qFormat/>
    <w:uiPriority w:val="39"/>
    <w:pPr>
      <w:spacing w:before="180"/>
      <w:ind w:left="2693" w:hanging="2693"/>
    </w:pPr>
    <w:rPr>
      <w:b/>
    </w:rPr>
  </w:style>
  <w:style w:type="paragraph" w:styleId="26">
    <w:name w:val="Balloon Text"/>
    <w:basedOn w:val="1"/>
    <w:link w:val="72"/>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link w:val="92"/>
    <w:qFormat/>
    <w:uiPriority w:val="99"/>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Normal (Web)"/>
    <w:basedOn w:val="1"/>
    <w:qFormat/>
    <w:uiPriority w:val="0"/>
    <w:pPr>
      <w:overflowPunct/>
      <w:autoSpaceDE/>
      <w:autoSpaceDN/>
      <w:adjustRightInd/>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page number"/>
    <w:basedOn w:val="33"/>
    <w:semiHidden/>
    <w:qFormat/>
    <w:uiPriority w:val="0"/>
  </w:style>
  <w:style w:type="character" w:styleId="35">
    <w:name w:val="FollowedHyperlink"/>
    <w:basedOn w:val="33"/>
    <w:qFormat/>
    <w:uiPriority w:val="0"/>
    <w:rPr>
      <w:color w:val="954F72" w:themeColor="followedHyperlink"/>
      <w:u w:val="single"/>
      <w14:textFill>
        <w14:solidFill>
          <w14:schemeClr w14:val="folHlink"/>
        </w14:solidFill>
      </w14:textFill>
    </w:rPr>
  </w:style>
  <w:style w:type="character" w:styleId="36">
    <w:name w:val="Hyperlink"/>
    <w:basedOn w:val="33"/>
    <w:qFormat/>
    <w:uiPriority w:val="0"/>
    <w:rPr>
      <w:color w:val="0563C1" w:themeColor="hyperlink"/>
      <w:u w:val="single"/>
      <w14:textFill>
        <w14:solidFill>
          <w14:schemeClr w14:val="hlink"/>
        </w14:solidFill>
      </w14:textFill>
    </w:r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0">
    <w:name w:val="TT"/>
    <w:basedOn w:val="2"/>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qFormat/>
    <w:uiPriority w:val="0"/>
    <w:pPr>
      <w:keepLines/>
      <w:ind w:left="1135" w:hanging="851"/>
    </w:p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4">
    <w:name w:val="TAR"/>
    <w:basedOn w:val="45"/>
    <w:qFormat/>
    <w:uiPriority w:val="0"/>
    <w:pPr>
      <w:jc w:val="right"/>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14"/>
    <w:qFormat/>
    <w:uiPriority w:val="0"/>
  </w:style>
  <w:style w:type="paragraph" w:customStyle="1" w:styleId="54">
    <w:name w:val="Editor's Note"/>
    <w:basedOn w:val="42"/>
    <w:qFormat/>
    <w:uiPriority w:val="0"/>
    <w:rPr>
      <w:color w:val="FF0000"/>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2">
    <w:name w:val="TF"/>
    <w:basedOn w:val="55"/>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4">
    <w:name w:val="B2"/>
    <w:basedOn w:val="13"/>
    <w:qFormat/>
    <w:uiPriority w:val="0"/>
  </w:style>
  <w:style w:type="paragraph" w:customStyle="1" w:styleId="65">
    <w:name w:val="B3"/>
    <w:basedOn w:val="12"/>
    <w:qFormat/>
    <w:uiPriority w:val="0"/>
    <w:pPr>
      <w:ind w:left="1135" w:hanging="284"/>
    </w:pPr>
  </w:style>
  <w:style w:type="paragraph" w:customStyle="1" w:styleId="66">
    <w:name w:val="B4"/>
    <w:basedOn w:val="1"/>
    <w:qFormat/>
    <w:uiPriority w:val="0"/>
    <w:pPr>
      <w:ind w:left="1418" w:hanging="284"/>
    </w:pPr>
  </w:style>
  <w:style w:type="paragraph" w:customStyle="1" w:styleId="67">
    <w:name w:val="B5"/>
    <w:basedOn w:val="1"/>
    <w:qFormat/>
    <w:uiPriority w:val="0"/>
    <w:pPr>
      <w:ind w:left="1702" w:hanging="284"/>
    </w:pPr>
  </w:style>
  <w:style w:type="paragraph" w:customStyle="1" w:styleId="68">
    <w:name w:val="ZTD"/>
    <w:basedOn w:val="57"/>
    <w:qFormat/>
    <w:uiPriority w:val="0"/>
    <w:pPr>
      <w:framePr w:hRule="auto" w:y="852"/>
    </w:pPr>
    <w:rPr>
      <w:i w:val="0"/>
      <w:sz w:val="40"/>
    </w:rPr>
  </w:style>
  <w:style w:type="paragraph" w:customStyle="1" w:styleId="69">
    <w:name w:val="ZV"/>
    <w:basedOn w:val="59"/>
    <w:qFormat/>
    <w:uiPriority w:val="0"/>
    <w:pPr>
      <w:framePr w:y="16161"/>
    </w:pPr>
  </w:style>
  <w:style w:type="paragraph" w:customStyle="1" w:styleId="70">
    <w:name w:val="TAJ"/>
    <w:basedOn w:val="55"/>
    <w:qFormat/>
    <w:uiPriority w:val="0"/>
  </w:style>
  <w:style w:type="paragraph" w:customStyle="1" w:styleId="71">
    <w:name w:val="Guidance"/>
    <w:basedOn w:val="1"/>
    <w:qFormat/>
    <w:uiPriority w:val="0"/>
    <w:rPr>
      <w:i/>
      <w:color w:val="0000FF"/>
    </w:rPr>
  </w:style>
  <w:style w:type="character" w:customStyle="1" w:styleId="72">
    <w:name w:val="批注框文本 字符"/>
    <w:link w:val="26"/>
    <w:qFormat/>
    <w:uiPriority w:val="0"/>
    <w:rPr>
      <w:rFonts w:ascii="Segoe UI" w:hAnsi="Segoe UI" w:cs="Segoe UI"/>
      <w:sz w:val="18"/>
      <w:szCs w:val="18"/>
      <w:lang w:eastAsia="en-US"/>
    </w:rPr>
  </w:style>
  <w:style w:type="character" w:customStyle="1" w:styleId="73">
    <w:name w:val="Unresolved Mention"/>
    <w:basedOn w:val="33"/>
    <w:semiHidden/>
    <w:unhideWhenUsed/>
    <w:qFormat/>
    <w:uiPriority w:val="99"/>
    <w:rPr>
      <w:color w:val="605E5C"/>
      <w:shd w:val="clear" w:color="auto" w:fill="E1DFDD"/>
    </w:rPr>
  </w:style>
  <w:style w:type="paragraph" w:styleId="74">
    <w:name w:val="List Paragraph"/>
    <w:basedOn w:val="1"/>
    <w:link w:val="75"/>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5">
    <w:name w:val="列出段落 字符"/>
    <w:link w:val="74"/>
    <w:qFormat/>
    <w:locked/>
    <w:uiPriority w:val="34"/>
    <w:rPr>
      <w:rFonts w:asciiTheme="minorHAnsi" w:hAnsiTheme="minorHAnsi" w:eastAsiaTheme="minorHAnsi" w:cstheme="minorBidi"/>
      <w:sz w:val="22"/>
      <w:szCs w:val="22"/>
      <w:lang w:val="sv-SE" w:eastAsia="en-US"/>
    </w:rPr>
  </w:style>
  <w:style w:type="paragraph" w:customStyle="1" w:styleId="76">
    <w:name w:val="CR Cover Page"/>
    <w:link w:val="77"/>
    <w:qFormat/>
    <w:uiPriority w:val="0"/>
    <w:pPr>
      <w:spacing w:after="120"/>
    </w:pPr>
    <w:rPr>
      <w:rFonts w:ascii="Arial" w:hAnsi="Arial" w:eastAsia="Times New Roman" w:cs="Times New Roman"/>
      <w:lang w:val="en-GB" w:eastAsia="en-US" w:bidi="ar-SA"/>
    </w:rPr>
  </w:style>
  <w:style w:type="character" w:customStyle="1" w:styleId="77">
    <w:name w:val="CR Cover Page Char"/>
    <w:link w:val="76"/>
    <w:qFormat/>
    <w:uiPriority w:val="0"/>
    <w:rPr>
      <w:rFonts w:ascii="Arial" w:hAnsi="Arial"/>
      <w:lang w:eastAsia="en-US"/>
    </w:rPr>
  </w:style>
  <w:style w:type="paragraph" w:customStyle="1" w:styleId="78">
    <w:name w:val="RAN4 H1"/>
    <w:basedOn w:val="1"/>
    <w:next w:val="1"/>
    <w:link w:val="79"/>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9">
    <w:name w:val="RAN4 H1 Char"/>
    <w:basedOn w:val="33"/>
    <w:link w:val="78"/>
    <w:qFormat/>
    <w:uiPriority w:val="0"/>
    <w:rPr>
      <w:rFonts w:ascii="Arial" w:hAnsi="Arial" w:eastAsia="宋体" w:cs="Times New Roman"/>
      <w:sz w:val="36"/>
      <w:szCs w:val="20"/>
      <w:lang w:val="en-GB"/>
    </w:rPr>
  </w:style>
  <w:style w:type="paragraph" w:customStyle="1" w:styleId="80">
    <w:name w:val="RAN4 H2"/>
    <w:basedOn w:val="3"/>
    <w:next w:val="1"/>
    <w:qFormat/>
    <w:uiPriority w:val="0"/>
    <w:pPr>
      <w:numPr>
        <w:ilvl w:val="1"/>
        <w:numId w:val="1"/>
      </w:numPr>
      <w:ind w:left="431" w:hanging="431"/>
    </w:pPr>
    <w:rPr>
      <w:lang w:val="en-US"/>
    </w:rPr>
  </w:style>
  <w:style w:type="paragraph" w:customStyle="1" w:styleId="81">
    <w:name w:val="RAN4 proposal"/>
    <w:basedOn w:val="22"/>
    <w:next w:val="1"/>
    <w:qFormat/>
    <w:uiPriority w:val="0"/>
    <w:pPr>
      <w:numPr>
        <w:ilvl w:val="0"/>
        <w:numId w:val="2"/>
      </w:numPr>
      <w:ind w:left="0" w:firstLine="0"/>
      <w:jc w:val="left"/>
    </w:pPr>
    <w:rPr>
      <w:rFonts w:ascii="Times New Roman" w:hAnsi="Times New Roman"/>
      <w:b/>
      <w:i w:val="0"/>
      <w:sz w:val="20"/>
    </w:rPr>
  </w:style>
  <w:style w:type="paragraph" w:customStyle="1" w:styleId="82">
    <w:name w:val="Reference"/>
    <w:basedOn w:val="1"/>
    <w:qFormat/>
    <w:uiPriority w:val="0"/>
    <w:pPr>
      <w:spacing w:after="0"/>
      <w:ind w:left="567" w:hanging="283"/>
    </w:pPr>
    <w:rPr>
      <w:lang w:eastAsia="en-GB"/>
    </w:rPr>
  </w:style>
  <w:style w:type="paragraph" w:customStyle="1" w:styleId="83">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4">
    <w:name w:val="题注 字符"/>
    <w:basedOn w:val="33"/>
    <w:qFormat/>
    <w:uiPriority w:val="0"/>
    <w:rPr>
      <w:rFonts w:hint="default" w:ascii="Calibri" w:hAnsi="Calibri" w:eastAsia="Calibri" w:cs="Calibri"/>
      <w:b/>
      <w:bCs/>
      <w:sz w:val="22"/>
      <w:szCs w:val="22"/>
      <w:lang w:val="en-US" w:eastAsia="en-US"/>
    </w:rPr>
  </w:style>
  <w:style w:type="character" w:customStyle="1" w:styleId="85">
    <w:name w:val="TAC Char"/>
    <w:basedOn w:val="33"/>
    <w:qFormat/>
    <w:uiPriority w:val="0"/>
    <w:rPr>
      <w:rFonts w:ascii="Arial" w:hAnsi="Arial" w:eastAsia="Times New Roman" w:cs="Arial"/>
      <w:sz w:val="18"/>
      <w:lang w:val="en-US" w:eastAsia="en-US"/>
    </w:rPr>
  </w:style>
  <w:style w:type="character" w:customStyle="1" w:styleId="86">
    <w:name w:val="TAH Car"/>
    <w:basedOn w:val="33"/>
    <w:qFormat/>
    <w:uiPriority w:val="0"/>
    <w:rPr>
      <w:rFonts w:hint="default" w:ascii="Arial" w:hAnsi="Arial" w:eastAsia="Times New Roman" w:cs="Arial"/>
      <w:b/>
      <w:sz w:val="18"/>
      <w:lang w:val="en-US" w:eastAsia="en-US"/>
    </w:rPr>
  </w:style>
  <w:style w:type="character" w:customStyle="1" w:styleId="87">
    <w:name w:val="TAN Char"/>
    <w:basedOn w:val="33"/>
    <w:qFormat/>
    <w:uiPriority w:val="0"/>
    <w:rPr>
      <w:rFonts w:hint="default" w:ascii="Arial" w:hAnsi="Arial" w:eastAsia="Times New Roman" w:cs="Arial"/>
      <w:sz w:val="18"/>
      <w:lang w:val="en-US" w:eastAsia="en-US"/>
    </w:rPr>
  </w:style>
  <w:style w:type="character" w:customStyle="1" w:styleId="88">
    <w:name w:val="标题 3 字符"/>
    <w:basedOn w:val="33"/>
    <w:qFormat/>
    <w:uiPriority w:val="0"/>
    <w:rPr>
      <w:rFonts w:hint="default" w:ascii="Arial" w:hAnsi="Arial" w:eastAsia="Times New Roman" w:cs="Arial"/>
      <w:sz w:val="28"/>
      <w:lang w:eastAsia="en-US"/>
    </w:rPr>
  </w:style>
  <w:style w:type="character" w:customStyle="1" w:styleId="89">
    <w:name w:val="标题 2 字符"/>
    <w:basedOn w:val="33"/>
    <w:link w:val="3"/>
    <w:qFormat/>
    <w:uiPriority w:val="0"/>
    <w:rPr>
      <w:rFonts w:ascii="Calibri Light" w:hAnsi="Calibri Light" w:eastAsia="Malgun Gothic" w:cs="Times New Roman"/>
      <w:b/>
      <w:bCs/>
      <w:sz w:val="32"/>
      <w:szCs w:val="32"/>
      <w:lang w:eastAsia="en-US"/>
    </w:rPr>
  </w:style>
  <w:style w:type="character" w:customStyle="1" w:styleId="90">
    <w:name w:val="TAL Car"/>
    <w:basedOn w:val="33"/>
    <w:qFormat/>
    <w:uiPriority w:val="0"/>
    <w:rPr>
      <w:rFonts w:hint="default" w:ascii="Arial" w:hAnsi="Arial" w:eastAsia="Times New Roman" w:cs="Times New Roman"/>
      <w:sz w:val="18"/>
      <w:szCs w:val="20"/>
      <w:lang w:val="en-US" w:eastAsia="en-US"/>
    </w:rPr>
  </w:style>
  <w:style w:type="character" w:customStyle="1" w:styleId="91">
    <w:name w:val="TH Char"/>
    <w:basedOn w:val="33"/>
    <w:qFormat/>
    <w:uiPriority w:val="0"/>
    <w:rPr>
      <w:rFonts w:hint="default" w:ascii="Arial" w:hAnsi="Arial" w:eastAsia="Times New Roman" w:cs="Times New Roman"/>
      <w:b/>
      <w:sz w:val="20"/>
      <w:szCs w:val="20"/>
      <w:lang w:val="en-US" w:eastAsia="en-US"/>
    </w:rPr>
  </w:style>
  <w:style w:type="character" w:customStyle="1" w:styleId="92">
    <w:name w:val="页眉 字符"/>
    <w:basedOn w:val="33"/>
    <w:link w:val="28"/>
    <w:qFormat/>
    <w:uiPriority w:val="99"/>
    <w:rPr>
      <w:rFonts w:ascii="Arial" w:hAnsi="Arial" w:eastAsia="Times New Roman"/>
      <w:b/>
      <w:sz w:val="18"/>
      <w:lang w:val="en-GB" w:eastAsia="ja-JP"/>
    </w:rPr>
  </w:style>
  <w:style w:type="character" w:customStyle="1" w:styleId="93">
    <w:name w:val="列出段落 字符1"/>
    <w:basedOn w:val="33"/>
    <w:qFormat/>
    <w:uiPriority w:val="0"/>
    <w:rPr>
      <w:lang w:eastAsia="en-US"/>
    </w:rPr>
  </w:style>
  <w:style w:type="character" w:customStyle="1" w:styleId="94">
    <w:name w:val="B1 Char"/>
    <w:basedOn w:val="33"/>
    <w:qFormat/>
    <w:uiPriority w:val="0"/>
    <w:rPr>
      <w:rFonts w:hint="default" w:ascii="Times New Roman" w:hAnsi="Times New Roman" w:eastAsia="Times New Roman" w:cs="Times New Roman"/>
      <w:lang w:eastAsia="en-US"/>
    </w:rPr>
  </w:style>
  <w:style w:type="character" w:customStyle="1" w:styleId="95">
    <w:name w:val="EQ Char"/>
    <w:basedOn w:val="33"/>
    <w:qFormat/>
    <w:uiPriority w:val="0"/>
    <w:rPr>
      <w:rFonts w:hint="default" w:ascii="Times New Roman" w:hAnsi="Times New Roman" w:eastAsia="Times New Roman" w:cs="Times New Roman"/>
      <w:lang w:eastAsia="en-US"/>
    </w:rPr>
  </w:style>
  <w:style w:type="character" w:customStyle="1" w:styleId="96">
    <w:name w:val="B2 Char"/>
    <w:basedOn w:val="33"/>
    <w:qFormat/>
    <w:uiPriority w:val="0"/>
    <w:rPr>
      <w:rFonts w:hint="default" w:ascii="Times New Roman" w:hAnsi="Times New Roman" w:eastAsia="Times New Roman" w:cs="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B4DCD-A39C-4AA9-91B6-7715D1DA7B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2167</Words>
  <Characters>12358</Characters>
  <Lines>102</Lines>
  <Paragraphs>28</Paragraphs>
  <TotalTime>6</TotalTime>
  <ScaleCrop>false</ScaleCrop>
  <LinksUpToDate>false</LinksUpToDate>
  <CharactersWithSpaces>14497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2025-11-07T12:20:50Z</dcterms:modified>
  <dc:subject>&lt;Title 1; Title 2&gt; (Release 14 | 13 |12)</dc:subject>
  <dc:title>3GPP TS ab.cde</dc:title>
  <cp:revision>570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4BAFA7A5694C4C1AABFAE631AD314D65</vt:lpwstr>
  </property>
</Properties>
</file>